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hint="eastAsia" w:ascii="宋体" w:hAnsi="宋体"/>
          <w:szCs w:val="21"/>
        </w:rPr>
        <w:t xml:space="preserve">  </w:t>
      </w:r>
      <w:r>
        <w:rPr>
          <w:rFonts w:ascii="宋体" w:hAnsi="宋体"/>
          <w:szCs w:val="21"/>
        </w:rPr>
        <w:t xml:space="preserve"> </w:t>
      </w:r>
      <w:r>
        <w:rPr>
          <w:rFonts w:ascii="宋体" w:hAnsi="宋体"/>
          <w:sz w:val="44"/>
          <w:szCs w:val="44"/>
        </w:rPr>
        <w:t xml:space="preserve">      </w:t>
      </w:r>
    </w:p>
    <w:p>
      <w:pPr>
        <w:spacing w:line="480" w:lineRule="exact"/>
        <w:jc w:val="center"/>
        <w:rPr>
          <w:rFonts w:ascii="宋体" w:hAnsi="宋体"/>
          <w:b/>
          <w:sz w:val="44"/>
          <w:szCs w:val="44"/>
        </w:rPr>
      </w:pPr>
      <w:r>
        <w:rPr>
          <w:rFonts w:hint="eastAsia" w:ascii="宋体" w:hAnsi="宋体"/>
          <w:b/>
          <w:sz w:val="44"/>
          <w:szCs w:val="44"/>
        </w:rPr>
        <w:t>安庆黄镇生平事迹陈列馆信息化零星设备及</w:t>
      </w:r>
    </w:p>
    <w:p>
      <w:pPr>
        <w:spacing w:line="480" w:lineRule="exact"/>
        <w:jc w:val="center"/>
        <w:rPr>
          <w:rFonts w:ascii="宋体" w:hAnsi="宋体"/>
          <w:b/>
          <w:sz w:val="44"/>
          <w:szCs w:val="44"/>
        </w:rPr>
      </w:pPr>
      <w:r>
        <w:rPr>
          <w:rFonts w:hint="eastAsia" w:ascii="宋体" w:hAnsi="宋体"/>
          <w:b/>
          <w:sz w:val="44"/>
          <w:szCs w:val="44"/>
        </w:rPr>
        <w:t>新馆安检设备采购项目</w:t>
      </w:r>
    </w:p>
    <w:p>
      <w:pPr>
        <w:pStyle w:val="78"/>
      </w:pPr>
    </w:p>
    <w:p>
      <w:pPr>
        <w:pStyle w:val="78"/>
        <w:ind w:left="0" w:firstLine="0"/>
      </w:pPr>
    </w:p>
    <w:p>
      <w:pPr>
        <w:spacing w:line="480" w:lineRule="exact"/>
        <w:jc w:val="center"/>
        <w:rPr>
          <w:rFonts w:ascii="宋体" w:hAnsi="宋体" w:cs="宋体"/>
          <w:b/>
          <w:bCs/>
          <w:sz w:val="48"/>
          <w:szCs w:val="48"/>
        </w:rPr>
      </w:pPr>
      <w:r>
        <w:rPr>
          <w:rFonts w:hint="eastAsia" w:ascii="宋体" w:hAnsi="宋体" w:cs="宋体"/>
          <w:b/>
          <w:bCs/>
          <w:sz w:val="48"/>
          <w:szCs w:val="48"/>
        </w:rPr>
        <w:t xml:space="preserve">   </w:t>
      </w: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ind w:firstLine="2811" w:firstLineChars="1000"/>
        <w:rPr>
          <w:rFonts w:ascii="宋体" w:hAnsi="宋体" w:cs="仿宋_GB2312"/>
          <w:b/>
          <w:bCs/>
          <w:sz w:val="28"/>
          <w:szCs w:val="28"/>
        </w:rPr>
      </w:pPr>
      <w:r>
        <w:rPr>
          <w:rFonts w:hint="eastAsia" w:ascii="宋体" w:hAnsi="宋体" w:cs="宋体"/>
          <w:b/>
          <w:bCs/>
          <w:sz w:val="28"/>
          <w:szCs w:val="28"/>
        </w:rPr>
        <w:t>项目编号：</w:t>
      </w:r>
      <w:r>
        <w:rPr>
          <w:rFonts w:hint="eastAsia" w:ascii="宋体" w:hAnsi="宋体" w:cs="仿宋_GB2312"/>
          <w:b/>
          <w:bCs/>
          <w:sz w:val="28"/>
          <w:szCs w:val="28"/>
        </w:rPr>
        <w:t>CG-AQ-W2022-128</w:t>
      </w:r>
    </w:p>
    <w:p>
      <w:pPr>
        <w:pStyle w:val="6"/>
        <w:ind w:firstLine="562"/>
        <w:rPr>
          <w:rFonts w:ascii="宋体" w:hAnsi="宋体" w:cs="仿宋_GB2312"/>
          <w:b/>
          <w:bCs/>
          <w:sz w:val="28"/>
          <w:szCs w:val="28"/>
        </w:rPr>
      </w:pPr>
    </w:p>
    <w:p/>
    <w:p>
      <w:pPr>
        <w:spacing w:line="480" w:lineRule="exact"/>
        <w:rPr>
          <w:rFonts w:ascii="宋体" w:hAnsi="宋体" w:cs="仿宋_GB2312"/>
          <w:szCs w:val="21"/>
        </w:rPr>
      </w:pPr>
    </w:p>
    <w:p>
      <w:pPr>
        <w:spacing w:line="480" w:lineRule="exact"/>
        <w:rPr>
          <w:rFonts w:ascii="宋体" w:hAnsi="宋体" w:cs="仿宋_GB2312"/>
          <w:szCs w:val="21"/>
        </w:rPr>
      </w:pPr>
    </w:p>
    <w:p>
      <w:pPr>
        <w:pStyle w:val="6"/>
        <w:ind w:firstLine="400"/>
        <w:rPr>
          <w:rFonts w:ascii="宋体" w:hAnsi="宋体" w:cs="仿宋_GB2312"/>
          <w:szCs w:val="21"/>
        </w:rPr>
      </w:pPr>
    </w:p>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rPr>
        <w:t xml:space="preserve">  </w:t>
      </w:r>
      <w:r>
        <w:rPr>
          <w:rFonts w:ascii="宋体" w:hAnsi="宋体" w:cs="仿宋_GB2312"/>
          <w:b/>
          <w:sz w:val="30"/>
          <w:szCs w:val="30"/>
          <w:u w:val="single"/>
        </w:rPr>
        <w:t xml:space="preserve"> </w:t>
      </w:r>
      <w:r>
        <w:rPr>
          <w:rFonts w:hint="eastAsia" w:ascii="宋体" w:hAnsi="宋体" w:cs="仿宋_GB2312"/>
          <w:b/>
          <w:sz w:val="30"/>
          <w:szCs w:val="30"/>
          <w:u w:val="single"/>
        </w:rPr>
        <w:t xml:space="preserve">   安庆博物馆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rPr>
        <w:t>采购代理机构：</w:t>
      </w:r>
      <w:r>
        <w:rPr>
          <w:rFonts w:ascii="宋体" w:hAnsi="宋体" w:cs="仿宋_GB2312"/>
          <w:b/>
          <w:sz w:val="30"/>
          <w:szCs w:val="30"/>
          <w:u w:val="single"/>
        </w:rPr>
        <w:t xml:space="preserve">    安庆市皖宜项目咨询管理有限公司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480" w:lineRule="exact"/>
        <w:rPr>
          <w:rFonts w:ascii="宋体" w:hAnsi="宋体" w:cs="仿宋_GB2312"/>
          <w:szCs w:val="21"/>
        </w:rPr>
      </w:pPr>
    </w:p>
    <w:p>
      <w:pPr>
        <w:pStyle w:val="6"/>
        <w:ind w:firstLine="400"/>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日期：二〇二二年十一月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pStyle w:val="395"/>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2、对投标活动中可能发生的质疑、投诉行为，须依法在规定的时间内提出。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1"/>
        <w:tabs>
          <w:tab w:val="right" w:leader="dot" w:pos="9070"/>
        </w:tabs>
        <w:rPr>
          <w:sz w:val="28"/>
          <w:szCs w:val="28"/>
        </w:rPr>
      </w:pPr>
      <w:bookmarkStart w:id="0" w:name="_Toc21464"/>
      <w:bookmarkStart w:id="1" w:name="_Toc54941328"/>
      <w:bookmarkStart w:id="2" w:name="_Toc23467"/>
      <w:bookmarkStart w:id="3" w:name="_Toc439316870"/>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"_Toc170" </w:instrText>
      </w:r>
      <w:r>
        <w:fldChar w:fldCharType="separate"/>
      </w:r>
      <w:r>
        <w:rPr>
          <w:rFonts w:hint="eastAsia"/>
          <w:bCs/>
          <w:iCs/>
          <w:sz w:val="28"/>
          <w:szCs w:val="28"/>
        </w:rPr>
        <w:t>第一章</w:t>
      </w:r>
      <w:r>
        <w:rPr>
          <w:bCs/>
          <w:iCs/>
          <w:sz w:val="28"/>
          <w:szCs w:val="28"/>
        </w:rPr>
        <w:t xml:space="preserve">   </w:t>
      </w:r>
      <w:r>
        <w:rPr>
          <w:rFonts w:hint="eastAsia"/>
          <w:bCs/>
          <w:iCs/>
          <w:sz w:val="28"/>
          <w:szCs w:val="28"/>
        </w:rPr>
        <w:t>竞争性磋商公告</w:t>
      </w:r>
      <w:r>
        <w:rPr>
          <w:sz w:val="28"/>
          <w:szCs w:val="28"/>
        </w:rPr>
        <w:tab/>
      </w:r>
      <w:r>
        <w:rPr>
          <w:sz w:val="28"/>
          <w:szCs w:val="28"/>
        </w:rPr>
        <w:fldChar w:fldCharType="begin"/>
      </w:r>
      <w:r>
        <w:rPr>
          <w:sz w:val="28"/>
          <w:szCs w:val="28"/>
        </w:rPr>
        <w:instrText xml:space="preserve"> PAGEREF _Toc170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"_Toc11223" </w:instrText>
      </w:r>
      <w:r>
        <w:fldChar w:fldCharType="separate"/>
      </w:r>
      <w:r>
        <w:rPr>
          <w:rFonts w:hint="eastAsia" w:ascii="Arial" w:hAnsi="Arial"/>
          <w:sz w:val="28"/>
          <w:szCs w:val="28"/>
        </w:rPr>
        <w:t>第二章</w:t>
      </w:r>
      <w:r>
        <w:rPr>
          <w:rFonts w:ascii="Arial" w:hAnsi="Arial"/>
          <w:sz w:val="28"/>
          <w:szCs w:val="28"/>
        </w:rPr>
        <w:t xml:space="preserve">   </w:t>
      </w:r>
      <w:r>
        <w:rPr>
          <w:rFonts w:hint="eastAsia" w:ascii="Arial" w:hAnsi="Arial"/>
          <w:sz w:val="28"/>
          <w:szCs w:val="28"/>
        </w:rPr>
        <w:t>磋商须知</w:t>
      </w:r>
      <w:r>
        <w:rPr>
          <w:sz w:val="28"/>
          <w:szCs w:val="28"/>
        </w:rPr>
        <w:tab/>
      </w:r>
      <w:r>
        <w:rPr>
          <w:sz w:val="28"/>
          <w:szCs w:val="28"/>
        </w:rPr>
        <w:fldChar w:fldCharType="begin"/>
      </w:r>
      <w:r>
        <w:rPr>
          <w:sz w:val="28"/>
          <w:szCs w:val="28"/>
        </w:rPr>
        <w:instrText xml:space="preserve"> PAGEREF _Toc11223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"_Toc260" </w:instrText>
      </w:r>
      <w:r>
        <w:fldChar w:fldCharType="separate"/>
      </w:r>
      <w:r>
        <w:rPr>
          <w:rFonts w:hint="eastAsia" w:ascii="Arial" w:hAnsi="Arial"/>
          <w:sz w:val="28"/>
          <w:szCs w:val="28"/>
        </w:rPr>
        <w:t>第三章</w:t>
      </w:r>
      <w:r>
        <w:rPr>
          <w:rFonts w:ascii="Arial" w:hAnsi="Arial"/>
          <w:sz w:val="28"/>
          <w:szCs w:val="28"/>
        </w:rPr>
        <w:t xml:space="preserve">  </w:t>
      </w:r>
      <w:r>
        <w:rPr>
          <w:rFonts w:ascii="Arial" w:hAnsi="Arial"/>
          <w:sz w:val="28"/>
          <w:szCs w:val="28"/>
          <w:lang w:val="zh-CN"/>
        </w:rPr>
        <w:t xml:space="preserve"> </w:t>
      </w:r>
      <w:r>
        <w:rPr>
          <w:rFonts w:hint="eastAsia" w:ascii="Arial" w:hAnsi="Arial"/>
          <w:sz w:val="28"/>
          <w:szCs w:val="28"/>
          <w:lang w:val="zh-CN"/>
        </w:rPr>
        <w:t>货物需求及技术要求</w:t>
      </w:r>
      <w:r>
        <w:rPr>
          <w:sz w:val="28"/>
          <w:szCs w:val="28"/>
        </w:rPr>
        <w:tab/>
      </w:r>
      <w:r>
        <w:rPr>
          <w:sz w:val="28"/>
          <w:szCs w:val="28"/>
        </w:rPr>
        <w:fldChar w:fldCharType="begin"/>
      </w:r>
      <w:r>
        <w:rPr>
          <w:sz w:val="28"/>
          <w:szCs w:val="28"/>
        </w:rPr>
        <w:instrText xml:space="preserve"> PAGEREF _Toc260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"_Toc11149" </w:instrText>
      </w:r>
      <w:r>
        <w:fldChar w:fldCharType="separate"/>
      </w:r>
      <w:r>
        <w:rPr>
          <w:rFonts w:hint="eastAsia" w:ascii="Arial" w:hAnsi="Arial"/>
          <w:sz w:val="28"/>
          <w:szCs w:val="28"/>
        </w:rPr>
        <w:t>第四章</w:t>
      </w:r>
      <w:r>
        <w:rPr>
          <w:rFonts w:ascii="Arial" w:hAnsi="Arial"/>
          <w:sz w:val="28"/>
          <w:szCs w:val="28"/>
        </w:rPr>
        <w:t xml:space="preserve">   </w:t>
      </w:r>
      <w:r>
        <w:rPr>
          <w:rFonts w:hint="eastAsia" w:ascii="Arial" w:hAnsi="Arial"/>
          <w:sz w:val="28"/>
          <w:szCs w:val="28"/>
        </w:rPr>
        <w:t>合同主要条款</w:t>
      </w:r>
      <w:r>
        <w:rPr>
          <w:sz w:val="28"/>
          <w:szCs w:val="28"/>
        </w:rPr>
        <w:tab/>
      </w:r>
      <w:r>
        <w:rPr>
          <w:sz w:val="28"/>
          <w:szCs w:val="28"/>
        </w:rPr>
        <w:fldChar w:fldCharType="begin"/>
      </w:r>
      <w:r>
        <w:rPr>
          <w:sz w:val="28"/>
          <w:szCs w:val="28"/>
        </w:rPr>
        <w:instrText xml:space="preserve"> PAGEREF _Toc11149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"_Toc25399" </w:instrText>
      </w:r>
      <w:r>
        <w:fldChar w:fldCharType="separate"/>
      </w:r>
      <w:r>
        <w:rPr>
          <w:rFonts w:hint="eastAsia" w:ascii="Arial" w:hAnsi="Arial"/>
          <w:sz w:val="28"/>
          <w:szCs w:val="28"/>
          <w:lang w:val="zh-CN"/>
        </w:rPr>
        <w:t>第五章</w:t>
      </w:r>
      <w:r>
        <w:rPr>
          <w:rFonts w:ascii="Arial" w:hAnsi="Arial"/>
          <w:sz w:val="28"/>
          <w:szCs w:val="28"/>
          <w:lang w:val="zh-CN"/>
        </w:rPr>
        <w:t xml:space="preserve">  </w:t>
      </w:r>
      <w:r>
        <w:rPr>
          <w:rFonts w:hint="eastAsia" w:ascii="Arial" w:hAnsi="Arial"/>
          <w:sz w:val="28"/>
          <w:szCs w:val="28"/>
        </w:rPr>
        <w:t xml:space="preserve"> 响应文件格式</w:t>
      </w:r>
      <w:r>
        <w:rPr>
          <w:sz w:val="28"/>
          <w:szCs w:val="28"/>
        </w:rPr>
        <w:tab/>
      </w:r>
      <w:r>
        <w:rPr>
          <w:sz w:val="28"/>
          <w:szCs w:val="28"/>
        </w:rPr>
        <w:fldChar w:fldCharType="begin"/>
      </w:r>
      <w:r>
        <w:rPr>
          <w:sz w:val="28"/>
          <w:szCs w:val="28"/>
        </w:rPr>
        <w:instrText xml:space="preserve"> PAGEREF _Toc25399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41"/>
        <w:tabs>
          <w:tab w:val="right" w:leader="dot" w:pos="9070"/>
        </w:tabs>
        <w:rPr>
          <w:sz w:val="28"/>
          <w:szCs w:val="28"/>
        </w:rPr>
      </w:pPr>
    </w:p>
    <w:p>
      <w:pPr>
        <w:pStyle w:val="30"/>
        <w:tabs>
          <w:tab w:val="right" w:leader="dot" w:pos="9060"/>
        </w:tabs>
        <w:spacing w:line="360" w:lineRule="auto"/>
        <w:rPr>
          <w:szCs w:val="21"/>
        </w:rPr>
        <w:sectPr>
          <w:footerReference r:id="rId6" w:type="default"/>
          <w:pgSz w:w="11906" w:h="16838"/>
          <w:pgMar w:top="1418" w:right="1418" w:bottom="1418" w:left="1418" w:header="851" w:footer="680" w:gutter="0"/>
          <w:pgNumType w:fmt="koreanDigital" w:start="0"/>
          <w:cols w:space="720" w:num="1"/>
          <w:docGrid w:linePitch="290" w:charSpace="0"/>
        </w:sectPr>
      </w:pPr>
      <w:r>
        <w:rPr>
          <w:sz w:val="28"/>
          <w:szCs w:val="28"/>
        </w:rPr>
        <w:fldChar w:fldCharType="end"/>
      </w:r>
    </w:p>
    <w:p>
      <w:pPr>
        <w:pStyle w:val="30"/>
        <w:tabs>
          <w:tab w:val="right" w:leader="dot" w:pos="9060"/>
        </w:tabs>
        <w:spacing w:line="360" w:lineRule="auto"/>
        <w:jc w:val="center"/>
        <w:outlineLvl w:val="0"/>
        <w:rPr>
          <w:rFonts w:ascii="Arial" w:hAnsi="Arial"/>
          <w:b/>
          <w:bCs/>
          <w:i w:val="0"/>
          <w:iCs/>
          <w:sz w:val="32"/>
          <w:szCs w:val="32"/>
        </w:rPr>
      </w:pPr>
      <w:bookmarkStart w:id="4" w:name="_Toc170"/>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rPr>
        <w:t>安庆黄镇生平事迹陈列馆信息化零星设备及新馆安检设备采购项目竞争性磋商公告</w:t>
      </w:r>
      <w:bookmarkEnd w:id="5"/>
      <w:bookmarkEnd w:id="6"/>
    </w:p>
    <w:tbl>
      <w:tblPr>
        <w:tblStyle w:val="6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rPr>
              <w:t>安庆黄镇生平事迹陈列馆信息化零星设备及新馆安检设备采购项目</w:t>
            </w:r>
            <w:r>
              <w:rPr>
                <w:rFonts w:hint="eastAsia" w:ascii="仿宋" w:hAnsi="仿宋" w:eastAsia="仿宋"/>
                <w:sz w:val="28"/>
                <w:szCs w:val="28"/>
              </w:rPr>
              <w:t>的潜在供应商应于2022年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28359012"/>
      <w:bookmarkStart w:id="8" w:name="_Toc28359089"/>
      <w:bookmarkStart w:id="9" w:name="_Toc35393629"/>
      <w:bookmarkStart w:id="10" w:name="_Toc35393798"/>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ascii="仿宋" w:hAnsi="仿宋" w:eastAsia="仿宋"/>
          <w:sz w:val="28"/>
          <w:szCs w:val="28"/>
        </w:rPr>
      </w:pPr>
      <w:r>
        <w:rPr>
          <w:rFonts w:hint="eastAsia" w:ascii="仿宋" w:hAnsi="仿宋" w:eastAsia="仿宋"/>
          <w:sz w:val="28"/>
          <w:szCs w:val="28"/>
        </w:rPr>
        <w:t>项目编号：CG-AQ-W2022-128</w:t>
      </w:r>
    </w:p>
    <w:p>
      <w:pPr>
        <w:ind w:left="279" w:leftChars="133" w:firstLine="282" w:firstLineChars="101"/>
        <w:rPr>
          <w:rFonts w:ascii="仿宋" w:hAnsi="仿宋" w:eastAsia="仿宋"/>
          <w:sz w:val="28"/>
          <w:szCs w:val="28"/>
          <w:u w:val="single"/>
        </w:rPr>
      </w:pPr>
      <w:r>
        <w:rPr>
          <w:rFonts w:hint="eastAsia" w:ascii="仿宋" w:hAnsi="仿宋" w:eastAsia="仿宋"/>
          <w:sz w:val="28"/>
          <w:szCs w:val="28"/>
        </w:rPr>
        <w:t>项目名称：安庆黄镇生平事迹陈列馆信息化零星设备及新馆安检设备采购项目</w:t>
      </w:r>
    </w:p>
    <w:p>
      <w:pPr>
        <w:ind w:firstLine="565" w:firstLineChars="202"/>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预算金额：286720元</w:t>
      </w:r>
    </w:p>
    <w:p>
      <w:pPr>
        <w:ind w:firstLine="565" w:firstLineChars="202"/>
        <w:rPr>
          <w:rFonts w:ascii="仿宋" w:hAnsi="仿宋" w:eastAsia="仿宋"/>
          <w:sz w:val="28"/>
          <w:szCs w:val="28"/>
        </w:rPr>
      </w:pPr>
      <w:r>
        <w:rPr>
          <w:rFonts w:hint="eastAsia" w:ascii="仿宋" w:hAnsi="仿宋" w:eastAsia="仿宋"/>
          <w:sz w:val="28"/>
          <w:szCs w:val="28"/>
        </w:rPr>
        <w:t>最高限价：286720元</w:t>
      </w:r>
    </w:p>
    <w:p>
      <w:pPr>
        <w:ind w:firstLine="565" w:firstLineChars="202"/>
        <w:rPr>
          <w:rFonts w:ascii="仿宋" w:hAnsi="仿宋" w:eastAsia="仿宋"/>
          <w:sz w:val="28"/>
          <w:szCs w:val="28"/>
        </w:rPr>
      </w:pPr>
      <w:r>
        <w:rPr>
          <w:rFonts w:hint="eastAsia" w:ascii="仿宋" w:hAnsi="仿宋" w:eastAsia="仿宋"/>
          <w:sz w:val="28"/>
          <w:szCs w:val="28"/>
        </w:rPr>
        <w:t>采购需求：信息化零星设备及新馆安检设备采购,详见附件。</w:t>
      </w:r>
    </w:p>
    <w:p>
      <w:pPr>
        <w:ind w:firstLine="560" w:firstLineChars="200"/>
      </w:pPr>
      <w:r>
        <w:rPr>
          <w:rFonts w:hint="eastAsia" w:ascii="仿宋" w:hAnsi="仿宋" w:eastAsia="仿宋"/>
          <w:sz w:val="28"/>
          <w:szCs w:val="28"/>
        </w:rPr>
        <w:t>标段（包别）划分：一个包</w:t>
      </w:r>
    </w:p>
    <w:p>
      <w:pPr>
        <w:ind w:firstLine="565" w:firstLineChars="202"/>
        <w:rPr>
          <w:rFonts w:ascii="仿宋" w:hAnsi="仿宋" w:eastAsia="仿宋"/>
          <w:sz w:val="28"/>
          <w:szCs w:val="28"/>
        </w:rPr>
      </w:pPr>
      <w:r>
        <w:rPr>
          <w:rFonts w:hint="eastAsia" w:ascii="仿宋" w:hAnsi="仿宋" w:eastAsia="仿宋"/>
          <w:sz w:val="28"/>
          <w:szCs w:val="28"/>
        </w:rPr>
        <w:t>评标办法：综合评分方法</w:t>
      </w:r>
    </w:p>
    <w:p>
      <w:pPr>
        <w:ind w:firstLine="565" w:firstLineChars="202"/>
        <w:rPr>
          <w:rFonts w:ascii="仿宋" w:hAnsi="仿宋" w:eastAsia="仿宋"/>
          <w:sz w:val="28"/>
          <w:szCs w:val="28"/>
        </w:rPr>
      </w:pPr>
      <w:r>
        <w:rPr>
          <w:rFonts w:hint="eastAsia" w:ascii="仿宋" w:hAnsi="仿宋" w:eastAsia="仿宋"/>
          <w:sz w:val="28"/>
          <w:szCs w:val="28"/>
        </w:rPr>
        <w:t>合同履行期限：合同签订之日起7日历天</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799"/>
      <w:bookmarkStart w:id="12" w:name="_Toc28359013"/>
      <w:bookmarkStart w:id="13" w:name="_Toc35393630"/>
      <w:bookmarkStart w:id="14" w:name="_Toc28359090"/>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bookmarkStart w:id="15" w:name="_Toc28359014"/>
      <w:bookmarkStart w:id="16" w:name="_Toc28359091"/>
      <w:r>
        <w:rPr>
          <w:rFonts w:hint="eastAsia" w:ascii="仿宋" w:hAnsi="仿宋" w:eastAsia="仿宋"/>
          <w:sz w:val="28"/>
          <w:szCs w:val="28"/>
        </w:rPr>
        <w:t>1.满足《中华人民共和国政府采购法》第二十二条规定；</w:t>
      </w:r>
    </w:p>
    <w:p>
      <w:pPr>
        <w:ind w:firstLine="565" w:firstLineChars="202"/>
        <w:rPr>
          <w:rFonts w:ascii="仿宋" w:hAnsi="仿宋" w:eastAsia="仿宋"/>
          <w:sz w:val="28"/>
          <w:szCs w:val="28"/>
        </w:rPr>
      </w:pPr>
      <w:r>
        <w:rPr>
          <w:rFonts w:hint="eastAsia" w:ascii="仿宋" w:hAnsi="仿宋" w:eastAsia="仿宋"/>
          <w:sz w:val="28"/>
          <w:szCs w:val="28"/>
        </w:rPr>
        <w:t>2.落实政府采购政策需满足的资格要求：/</w:t>
      </w:r>
    </w:p>
    <w:p>
      <w:pPr>
        <w:ind w:firstLine="565" w:firstLineChars="202"/>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r>
        <w:rPr>
          <w:rFonts w:hint="eastAsia" w:ascii="仿宋" w:hAnsi="仿宋" w:eastAsia="仿宋" w:cs="仿宋"/>
          <w:kern w:val="0"/>
          <w:sz w:val="28"/>
          <w:szCs w:val="28"/>
        </w:rPr>
        <w:t>受邀供应商于2022年</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日17时30前，将盖公章的获取竞争性磋商文件的函（详见附件）及缴纳工本费的转账截图发送至邮箱504476178@qq.com或携带授权委托书及有效居民身份证现场领取纸质版磋商文件。（超过时间的邮件无效，无法获取文件）</w:t>
      </w:r>
    </w:p>
    <w:p>
      <w:pPr>
        <w:spacing w:line="480" w:lineRule="atLeast"/>
        <w:ind w:firstLine="565" w:firstLineChars="202"/>
        <w:rPr>
          <w:rFonts w:ascii="仿宋" w:hAnsi="仿宋" w:eastAsia="仿宋" w:cs="宋体"/>
          <w:sz w:val="28"/>
          <w:szCs w:val="28"/>
        </w:rPr>
      </w:pPr>
      <w:r>
        <w:rPr>
          <w:rFonts w:hint="eastAsia" w:ascii="仿宋" w:hAnsi="仿宋" w:eastAsia="仿宋" w:cs="宋体"/>
          <w:sz w:val="28"/>
          <w:szCs w:val="28"/>
        </w:rPr>
        <w:t>售价：400元。请供应商缴纳至以下账户（请注明缴费单位及缴费项目，可简写）：</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开户名：安庆市皖宜项目咨询管理有限公司</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开户行：交通银行安庆集贤支行</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账户：348709000018880001839</w:t>
      </w:r>
    </w:p>
    <w:p>
      <w:pPr>
        <w:ind w:firstLine="565" w:firstLineChars="202"/>
        <w:rPr>
          <w:rFonts w:ascii="仿宋" w:hAnsi="仿宋" w:eastAsia="仿宋" w:cs="宋体"/>
          <w:sz w:val="28"/>
          <w:szCs w:val="28"/>
        </w:rPr>
      </w:pPr>
      <w:r>
        <w:rPr>
          <w:rFonts w:hint="eastAsia" w:ascii="仿宋" w:hAnsi="仿宋" w:eastAsia="仿宋" w:cs="仿宋"/>
          <w:kern w:val="0"/>
          <w:sz w:val="28"/>
          <w:szCs w:val="28"/>
        </w:rPr>
        <w:t>注：若为自然人转账工本费必须在转账备注中写明磋商响应人名称。若自然人转账工本费未备注磋商响应人名称的，转账截图发至邮箱的同时，必须要附上磋商响应人对该人的授权书（授权该人对这个项目转账工本费及获得采购文件，加盖磋商响应人公章）。</w:t>
      </w:r>
    </w:p>
    <w:p>
      <w:pPr>
        <w:rPr>
          <w:rFonts w:ascii="黑体" w:hAnsi="黑体" w:eastAsia="黑体" w:cs="宋体"/>
          <w:bCs/>
          <w:sz w:val="28"/>
          <w:szCs w:val="28"/>
        </w:rPr>
      </w:pPr>
      <w:bookmarkStart w:id="19" w:name="_Toc28359015"/>
      <w:bookmarkStart w:id="20" w:name="_Toc28359092"/>
      <w:bookmarkStart w:id="21" w:name="_Toc35393632"/>
      <w:bookmarkStart w:id="22" w:name="_Toc35393801"/>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none"/>
        </w:rPr>
        <w:t>2022年12月12日9点30分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地点：安庆市皖宜项目咨询管理有限公司</w:t>
      </w:r>
    </w:p>
    <w:p>
      <w:pPr>
        <w:rPr>
          <w:rFonts w:ascii="黑体" w:hAnsi="黑体" w:eastAsia="黑体" w:cs="宋体"/>
          <w:bCs/>
          <w:sz w:val="28"/>
          <w:szCs w:val="28"/>
        </w:rPr>
      </w:pPr>
      <w:bookmarkStart w:id="23" w:name="_Toc35393802"/>
      <w:bookmarkStart w:id="24" w:name="_Toc28359016"/>
      <w:bookmarkStart w:id="25" w:name="_Toc28359093"/>
      <w:bookmarkStart w:id="26" w:name="_Toc35393633"/>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时间：2022年12月12日9点30分（北京时间）</w:t>
      </w:r>
    </w:p>
    <w:p>
      <w:pPr>
        <w:ind w:firstLine="565" w:firstLineChars="202"/>
        <w:rPr>
          <w:rFonts w:ascii="仿宋" w:hAnsi="仿宋" w:eastAsia="仿宋"/>
          <w:sz w:val="28"/>
          <w:szCs w:val="28"/>
        </w:rPr>
      </w:pPr>
      <w:bookmarkStart w:id="27" w:name="_Toc28359017"/>
      <w:bookmarkStart w:id="28" w:name="_Toc35393803"/>
      <w:bookmarkStart w:id="29" w:name="_Toc28359094"/>
      <w:bookmarkStart w:id="30" w:name="_Toc35393634"/>
      <w:r>
        <w:rPr>
          <w:rFonts w:hint="eastAsia" w:ascii="仿宋" w:hAnsi="仿宋" w:eastAsia="仿宋"/>
          <w:sz w:val="28"/>
          <w:szCs w:val="28"/>
        </w:rPr>
        <w:t>地点：安庆市皖宜项目咨询管理有限公司</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pStyle w:val="26"/>
        <w:ind w:firstLine="560" w:firstLineChars="200"/>
        <w:rPr>
          <w:rFonts w:eastAsia="仿宋"/>
        </w:rPr>
      </w:pPr>
      <w:r>
        <w:rPr>
          <w:rFonts w:hint="eastAsia" w:ascii="仿宋" w:hAnsi="仿宋" w:eastAsia="仿宋"/>
          <w:sz w:val="28"/>
          <w:szCs w:val="28"/>
        </w:rPr>
        <w:t>2.本次竞争性磋商不要求磋商响应人提供纸质版磋商响应文件，磋商响应人制作完成并加盖磋商响应人公章（PDF等不可编辑的电子文件）后应对磋商响应文件进行文档加密。磋商响应人应在竞争性磋商文件截止时间前将加密磋商响应文件电子档发至504476178@qq.com邮箱。磋商响应人应在竞争性磋商文件截止时间后30分钟内将加密文件电子档密码发至504476178@qq.com邮箱。本项目实行远程询标。</w:t>
      </w:r>
    </w:p>
    <w:p>
      <w:pPr>
        <w:rPr>
          <w:rFonts w:ascii="黑体" w:hAnsi="黑体" w:eastAsia="黑体" w:cs="宋体"/>
          <w:bCs/>
          <w:sz w:val="28"/>
          <w:szCs w:val="28"/>
        </w:rPr>
      </w:pPr>
      <w:bookmarkStart w:id="33" w:name="_Toc35393636"/>
      <w:bookmarkStart w:id="34" w:name="_Toc28359018"/>
      <w:bookmarkStart w:id="35" w:name="_Toc35393805"/>
      <w:bookmarkStart w:id="36" w:name="_Toc2835909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widowControl/>
        <w:jc w:val="left"/>
        <w:rPr>
          <w:rFonts w:ascii="仿宋" w:hAnsi="仿宋" w:eastAsia="仿宋" w:cs="仿宋"/>
          <w:sz w:val="28"/>
          <w:szCs w:val="28"/>
        </w:rPr>
      </w:pPr>
      <w:r>
        <w:rPr>
          <w:rFonts w:hint="eastAsia" w:ascii="宋体" w:hAnsi="宋体" w:cs="宋体"/>
          <w:sz w:val="28"/>
          <w:szCs w:val="28"/>
        </w:rPr>
        <w:t>　　</w:t>
      </w:r>
      <w:r>
        <w:rPr>
          <w:rFonts w:hint="eastAsia" w:ascii="仿宋" w:hAnsi="仿宋" w:eastAsia="仿宋" w:cs="仿宋"/>
          <w:sz w:val="28"/>
          <w:szCs w:val="28"/>
        </w:rPr>
        <w:t>1.采购人信息</w:t>
      </w:r>
    </w:p>
    <w:p>
      <w:pPr>
        <w:spacing w:line="560" w:lineRule="exact"/>
        <w:ind w:firstLine="842" w:firstLineChars="301"/>
        <w:rPr>
          <w:rFonts w:ascii="仿宋" w:hAnsi="仿宋" w:eastAsia="仿宋"/>
          <w:sz w:val="28"/>
          <w:szCs w:val="28"/>
        </w:rPr>
      </w:pPr>
      <w:bookmarkStart w:id="37" w:name="_Toc28359086"/>
      <w:bookmarkStart w:id="38" w:name="_Toc28359009"/>
      <w:r>
        <w:rPr>
          <w:rFonts w:hint="eastAsia" w:ascii="仿宋" w:hAnsi="仿宋" w:eastAsia="仿宋"/>
          <w:sz w:val="28"/>
          <w:szCs w:val="28"/>
        </w:rPr>
        <w:t>名    称：安庆博物馆</w:t>
      </w:r>
    </w:p>
    <w:p>
      <w:pPr>
        <w:spacing w:line="560" w:lineRule="exact"/>
        <w:ind w:firstLine="842" w:firstLineChars="301"/>
        <w:rPr>
          <w:rFonts w:ascii="仿宋" w:hAnsi="仿宋" w:eastAsia="仿宋"/>
          <w:sz w:val="28"/>
          <w:szCs w:val="28"/>
          <w:u w:val="single"/>
        </w:rPr>
      </w:pPr>
      <w:r>
        <w:rPr>
          <w:rFonts w:hint="eastAsia" w:ascii="仿宋" w:hAnsi="仿宋" w:eastAsia="仿宋"/>
          <w:sz w:val="28"/>
          <w:szCs w:val="28"/>
        </w:rPr>
        <w:t>地    址：</w:t>
      </w:r>
      <w:r>
        <w:rPr>
          <w:rFonts w:hint="eastAsia" w:ascii="仿宋_GB2312" w:hAnsi="宋体" w:eastAsia="仿宋_GB2312" w:cs="宋体"/>
          <w:color w:val="000000"/>
          <w:kern w:val="0"/>
          <w:sz w:val="28"/>
          <w:szCs w:val="28"/>
        </w:rPr>
        <w:t>安徽省安庆市经开区潜江路8号</w:t>
      </w:r>
    </w:p>
    <w:p>
      <w:pPr>
        <w:spacing w:line="560" w:lineRule="exact"/>
        <w:ind w:firstLine="842" w:firstLineChars="301"/>
        <w:rPr>
          <w:rFonts w:ascii="仿宋" w:hAnsi="仿宋" w:eastAsia="仿宋"/>
          <w:sz w:val="28"/>
          <w:szCs w:val="28"/>
        </w:rPr>
      </w:pPr>
      <w:r>
        <w:rPr>
          <w:rFonts w:hint="eastAsia" w:ascii="仿宋" w:hAnsi="仿宋" w:eastAsia="仿宋" w:cstheme="minorBidi"/>
          <w:sz w:val="28"/>
          <w:szCs w:val="28"/>
        </w:rPr>
        <w:t>联 系 人：</w:t>
      </w:r>
      <w:r>
        <w:rPr>
          <w:rFonts w:hint="eastAsia" w:ascii="仿宋_GB2312" w:hAnsi="宋体" w:eastAsia="仿宋_GB2312" w:cs="宋体"/>
          <w:color w:val="000000"/>
          <w:kern w:val="0"/>
          <w:sz w:val="28"/>
          <w:szCs w:val="28"/>
        </w:rPr>
        <w:t>张梦驰</w:t>
      </w:r>
    </w:p>
    <w:p>
      <w:pPr>
        <w:widowControl/>
        <w:shd w:val="clear" w:color="auto" w:fill="FFFFFF"/>
        <w:spacing w:line="560" w:lineRule="exact"/>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_GB2312" w:hAnsi="宋体" w:eastAsia="仿宋_GB2312" w:cs="宋体"/>
          <w:color w:val="000000"/>
          <w:kern w:val="0"/>
          <w:sz w:val="28"/>
          <w:szCs w:val="28"/>
        </w:rPr>
        <w:t>0556-5365972</w:t>
      </w:r>
    </w:p>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bookmarkEnd w:id="37"/>
      <w:bookmarkEnd w:id="38"/>
    </w:p>
    <w:p>
      <w:pPr>
        <w:spacing w:line="360" w:lineRule="auto"/>
        <w:ind w:firstLine="840" w:firstLineChars="300"/>
        <w:rPr>
          <w:rFonts w:ascii="仿宋" w:hAnsi="仿宋" w:eastAsia="仿宋" w:cs="仿宋"/>
          <w:sz w:val="28"/>
          <w:szCs w:val="28"/>
        </w:rPr>
      </w:pPr>
      <w:bookmarkStart w:id="39" w:name="_Toc28359010"/>
      <w:bookmarkStart w:id="40" w:name="_Toc28359087"/>
      <w:r>
        <w:rPr>
          <w:rFonts w:hint="eastAsia" w:ascii="仿宋" w:hAnsi="仿宋" w:eastAsia="仿宋" w:cs="仿宋"/>
          <w:sz w:val="28"/>
          <w:szCs w:val="28"/>
        </w:rPr>
        <w:t xml:space="preserve">名    称：安庆市皖宜项目咨询管理有限公司 </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址：安庆市龙山路213号5楼交易二部</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联 系 人：武惠梅</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联系方式：0556-5991151</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3.项目联系方式</w:t>
      </w:r>
      <w:bookmarkEnd w:id="39"/>
      <w:bookmarkEnd w:id="40"/>
    </w:p>
    <w:p>
      <w:pPr>
        <w:spacing w:line="560" w:lineRule="exact"/>
        <w:ind w:firstLine="842" w:firstLineChars="301"/>
        <w:rPr>
          <w:rFonts w:ascii="仿宋" w:hAnsi="仿宋" w:eastAsia="仿宋" w:cstheme="minorBidi"/>
          <w:sz w:val="28"/>
          <w:szCs w:val="28"/>
        </w:rPr>
      </w:pPr>
      <w:r>
        <w:rPr>
          <w:rFonts w:hint="eastAsia" w:ascii="仿宋" w:hAnsi="仿宋" w:eastAsia="仿宋" w:cstheme="minorBidi"/>
          <w:sz w:val="28"/>
          <w:szCs w:val="28"/>
        </w:rPr>
        <w:t>项目联系人：</w:t>
      </w:r>
      <w:r>
        <w:rPr>
          <w:rFonts w:hint="eastAsia" w:ascii="仿宋_GB2312" w:hAnsi="宋体" w:eastAsia="仿宋_GB2312" w:cs="宋体"/>
          <w:color w:val="000000"/>
          <w:kern w:val="0"/>
          <w:sz w:val="28"/>
          <w:szCs w:val="28"/>
        </w:rPr>
        <w:t>张梦驰</w:t>
      </w:r>
    </w:p>
    <w:p>
      <w:pPr>
        <w:spacing w:line="560" w:lineRule="exact"/>
        <w:ind w:firstLine="842" w:firstLineChars="301"/>
        <w:rPr>
          <w:rFonts w:ascii="仿宋_GB2312" w:hAnsi="宋体" w:eastAsia="仿宋_GB2312" w:cs="宋体"/>
          <w:color w:val="000000"/>
          <w:kern w:val="0"/>
          <w:sz w:val="32"/>
          <w:szCs w:val="32"/>
        </w:rPr>
      </w:pPr>
      <w:r>
        <w:rPr>
          <w:rFonts w:hint="eastAsia" w:ascii="仿宋" w:hAnsi="仿宋" w:eastAsia="仿宋"/>
          <w:sz w:val="28"/>
          <w:szCs w:val="28"/>
        </w:rPr>
        <w:t>电　　 话：</w:t>
      </w:r>
      <w:r>
        <w:rPr>
          <w:rFonts w:hint="eastAsia" w:ascii="仿宋_GB2312" w:hAnsi="宋体" w:eastAsia="仿宋_GB2312" w:cs="宋体"/>
          <w:color w:val="000000"/>
          <w:kern w:val="0"/>
          <w:sz w:val="28"/>
          <w:szCs w:val="28"/>
        </w:rPr>
        <w:t>0556-5365972</w:t>
      </w:r>
    </w:p>
    <w:p>
      <w:pPr>
        <w:pStyle w:val="9"/>
      </w:pPr>
    </w:p>
    <w:p>
      <w:pPr>
        <w:pStyle w:val="3"/>
        <w:spacing w:before="312" w:after="312"/>
        <w:ind w:firstLine="0" w:firstLineChars="0"/>
        <w:jc w:val="left"/>
        <w:rPr>
          <w:rFonts w:ascii="宋体" w:hAnsi="宋体" w:cs="宋体"/>
          <w:sz w:val="24"/>
          <w:szCs w:val="36"/>
        </w:rPr>
      </w:pPr>
      <w:r>
        <w:rPr>
          <w:rFonts w:hint="eastAsia" w:ascii="仿宋_GB2312" w:hAnsi="宋体" w:eastAsia="仿宋_GB2312" w:cs="宋体"/>
          <w:kern w:val="0"/>
        </w:rPr>
        <w:t>附件：</w:t>
      </w:r>
    </w:p>
    <w:p>
      <w:pPr>
        <w:pStyle w:val="3"/>
        <w:spacing w:before="312" w:after="312"/>
        <w:ind w:firstLine="3382"/>
        <w:rPr>
          <w:rFonts w:ascii="宋体" w:hAnsi="宋体" w:cs="宋体"/>
        </w:rPr>
      </w:pPr>
      <w:r>
        <w:rPr>
          <w:rFonts w:hint="eastAsia" w:ascii="宋体" w:hAnsi="宋体" w:cs="宋体"/>
        </w:rPr>
        <w:t>获取竞争性磋商文件的函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_GB2312" w:hAnsi="宋体" w:eastAsia="仿宋_GB2312" w:cs="宋体"/>
          <w:color w:val="000000"/>
          <w:kern w:val="0"/>
          <w:sz w:val="32"/>
          <w:szCs w:val="32"/>
        </w:rPr>
        <w:t>安庆黄镇生平事迹陈列馆信息化零星设备及新馆安检设备采购项目</w:t>
      </w:r>
      <w:r>
        <w:rPr>
          <w:rFonts w:hint="eastAsia" w:ascii="仿宋" w:hAnsi="仿宋" w:eastAsia="仿宋" w:cs="仿宋"/>
          <w:sz w:val="32"/>
          <w:szCs w:val="32"/>
        </w:rPr>
        <w:t>的竞争性磋商文件电子版，该电子版仅做本次磋商响应使用，并承诺不做外用。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_GB2312" w:hAnsi="宋体" w:eastAsia="仿宋_GB2312" w:cs="宋体"/>
          <w:color w:val="000000"/>
          <w:kern w:val="0"/>
          <w:sz w:val="32"/>
          <w:szCs w:val="32"/>
        </w:rPr>
        <w:t>安庆黄镇生平事迹陈列馆信息化零星设备及新馆安检设备采购项目</w:t>
      </w:r>
      <w:r>
        <w:rPr>
          <w:rFonts w:hint="eastAsia" w:ascii="仿宋" w:hAnsi="仿宋" w:eastAsia="仿宋" w:cs="仿宋"/>
          <w:sz w:val="32"/>
          <w:szCs w:val="32"/>
        </w:rPr>
        <w:t>竞争性磋商文件发至以下邮箱：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年  月   日</w:t>
      </w:r>
    </w:p>
    <w:p>
      <w:pPr>
        <w:pStyle w:val="2"/>
        <w:rPr>
          <w:rFonts w:ascii="仿宋" w:hAnsi="仿宋" w:eastAsia="仿宋" w:cs="仿宋"/>
          <w:sz w:val="32"/>
          <w:szCs w:val="32"/>
        </w:rPr>
      </w:pPr>
    </w:p>
    <w:p>
      <w:pPr>
        <w:ind w:firstLine="632" w:firstLineChars="301"/>
        <w:rPr>
          <w:szCs w:val="21"/>
        </w:rPr>
      </w:pPr>
      <w:r>
        <w:rPr>
          <w:szCs w:val="21"/>
        </w:rPr>
        <w:br w:type="page"/>
      </w:r>
    </w:p>
    <w:p>
      <w:pPr>
        <w:pStyle w:val="3"/>
        <w:spacing w:before="62" w:beforeLines="20" w:after="62" w:afterLines="20" w:line="480" w:lineRule="exact"/>
        <w:ind w:firstLine="0" w:firstLineChars="0"/>
        <w:jc w:val="center"/>
        <w:rPr>
          <w:rFonts w:ascii="Arial" w:hAnsi="Arial"/>
          <w:kern w:val="2"/>
          <w:sz w:val="32"/>
          <w:szCs w:val="32"/>
        </w:rPr>
      </w:pPr>
      <w:bookmarkStart w:id="41" w:name="_Toc54941329"/>
      <w:bookmarkStart w:id="42" w:name="_Toc11223"/>
      <w:bookmarkStart w:id="43" w:name="_Toc26069"/>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1"/>
      <w:bookmarkEnd w:id="42"/>
      <w:bookmarkEnd w:id="43"/>
    </w:p>
    <w:p>
      <w:pPr>
        <w:pStyle w:val="2"/>
        <w:rPr>
          <w:rFonts w:cs="Tahoma"/>
          <w:bCs/>
          <w:kern w:val="0"/>
          <w:sz w:val="32"/>
          <w:szCs w:val="32"/>
        </w:rPr>
      </w:pPr>
      <w:bookmarkStart w:id="44" w:name="_Toc17862"/>
      <w:bookmarkStart w:id="45" w:name="_Toc54941330"/>
      <w:bookmarkStart w:id="46" w:name="_Toc439316871"/>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44"/>
      <w:bookmarkEnd w:id="45"/>
      <w:bookmarkEnd w:id="46"/>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961"/>
        <w:gridCol w:w="6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96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384"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384" w:type="dxa"/>
            <w:tcBorders>
              <w:top w:val="single" w:color="auto" w:sz="4" w:space="0"/>
              <w:left w:val="single" w:color="auto" w:sz="4" w:space="0"/>
              <w:bottom w:val="single" w:color="auto" w:sz="4" w:space="0"/>
            </w:tcBorders>
            <w:vAlign w:val="center"/>
          </w:tcPr>
          <w:p>
            <w:pPr>
              <w:spacing w:line="420" w:lineRule="exact"/>
              <w:rPr>
                <w:szCs w:val="21"/>
              </w:rPr>
            </w:pPr>
            <w:r>
              <w:rPr>
                <w:rFonts w:hint="eastAsia" w:ascii="宋体" w:hAnsi="宋体" w:cs="宋体"/>
                <w:kern w:val="0"/>
                <w:szCs w:val="21"/>
              </w:rPr>
              <w:t>CG-AQ-W2022-128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384" w:type="dxa"/>
            <w:tcBorders>
              <w:top w:val="single" w:color="auto" w:sz="4" w:space="0"/>
              <w:left w:val="single" w:color="auto" w:sz="4" w:space="0"/>
              <w:bottom w:val="single" w:color="auto" w:sz="4" w:space="0"/>
            </w:tcBorders>
            <w:vAlign w:val="center"/>
          </w:tcPr>
          <w:p>
            <w:pPr>
              <w:spacing w:line="420" w:lineRule="exact"/>
              <w:rPr>
                <w:szCs w:val="21"/>
              </w:rPr>
            </w:pPr>
            <w:r>
              <w:rPr>
                <w:rFonts w:hint="eastAsia" w:ascii="宋体" w:hAnsi="宋体" w:cs="宋体"/>
                <w:kern w:val="0"/>
                <w:szCs w:val="21"/>
              </w:rPr>
              <w:t>安庆黄镇生平事迹陈列馆信息化零星设备及新馆安检设备采购项目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ascii="宋体" w:hAnsi="宋体"/>
                <w:szCs w:val="21"/>
              </w:rPr>
              <w:t>3</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384" w:type="dxa"/>
            <w:tcBorders>
              <w:top w:val="single" w:color="auto" w:sz="4" w:space="0"/>
              <w:left w:val="single" w:color="auto" w:sz="4" w:space="0"/>
              <w:bottom w:val="single" w:color="auto" w:sz="4" w:space="0"/>
            </w:tcBorders>
            <w:vAlign w:val="center"/>
          </w:tcPr>
          <w:p>
            <w:pPr>
              <w:widowControl/>
              <w:snapToGrid w:val="0"/>
              <w:spacing w:line="480" w:lineRule="exact"/>
              <w:rPr>
                <w:szCs w:val="21"/>
              </w:rPr>
            </w:pPr>
            <w:r>
              <w:rPr>
                <w:rFonts w:hint="eastAsia"/>
                <w:szCs w:val="21"/>
              </w:rPr>
              <w:t>安庆博物馆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4</w:t>
            </w:r>
          </w:p>
        </w:tc>
        <w:tc>
          <w:tcPr>
            <w:tcW w:w="196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rPr>
                <w:szCs w:val="21"/>
              </w:rPr>
            </w:pPr>
            <w:r>
              <w:rPr>
                <w:rFonts w:hint="eastAsia"/>
                <w:szCs w:val="21"/>
              </w:rPr>
              <w:t>采购代理机构</w:t>
            </w:r>
          </w:p>
        </w:tc>
        <w:tc>
          <w:tcPr>
            <w:tcW w:w="6384" w:type="dxa"/>
            <w:tcBorders>
              <w:top w:val="single" w:color="auto" w:sz="4" w:space="0"/>
              <w:left w:val="single" w:color="auto" w:sz="4" w:space="0"/>
              <w:bottom w:val="single" w:color="auto" w:sz="4" w:space="0"/>
            </w:tcBorders>
            <w:vAlign w:val="center"/>
          </w:tcPr>
          <w:p>
            <w:pPr>
              <w:widowControl/>
              <w:snapToGrid w:val="0"/>
              <w:spacing w:line="480" w:lineRule="exact"/>
              <w:rPr>
                <w:szCs w:val="21"/>
              </w:rPr>
            </w:pPr>
            <w:r>
              <w:rPr>
                <w:rFonts w:hint="eastAsia"/>
                <w:szCs w:val="21"/>
              </w:rPr>
              <w:t xml:space="preserve">安庆市皖宜项目咨询管理有限公司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5</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384"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6</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384"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7</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资金来源</w:t>
            </w:r>
          </w:p>
        </w:tc>
        <w:tc>
          <w:tcPr>
            <w:tcW w:w="6384"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5" w:type="dxa"/>
            <w:tcBorders>
              <w:top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8</w:t>
            </w:r>
          </w:p>
        </w:tc>
        <w:tc>
          <w:tcPr>
            <w:tcW w:w="1961" w:type="dxa"/>
            <w:tcBorders>
              <w:top w:val="single" w:color="auto" w:sz="4" w:space="0"/>
              <w:left w:val="single" w:color="auto" w:sz="4" w:space="0"/>
              <w:right w:val="single" w:color="auto" w:sz="4" w:space="0"/>
            </w:tcBorders>
            <w:vAlign w:val="center"/>
          </w:tcPr>
          <w:p>
            <w:pPr>
              <w:spacing w:line="480" w:lineRule="exact"/>
              <w:jc w:val="center"/>
              <w:rPr>
                <w:szCs w:val="21"/>
              </w:rPr>
            </w:pPr>
            <w:r>
              <w:rPr>
                <w:rFonts w:hint="eastAsia"/>
                <w:szCs w:val="21"/>
              </w:rPr>
              <w:t>最高磋商限价</w:t>
            </w:r>
          </w:p>
        </w:tc>
        <w:tc>
          <w:tcPr>
            <w:tcW w:w="6384" w:type="dxa"/>
            <w:tcBorders>
              <w:top w:val="single" w:color="auto" w:sz="4" w:space="0"/>
              <w:left w:val="single" w:color="auto" w:sz="4" w:space="0"/>
              <w:bottom w:val="single" w:color="auto" w:sz="4" w:space="0"/>
            </w:tcBorders>
            <w:vAlign w:val="center"/>
          </w:tcPr>
          <w:p>
            <w:pPr>
              <w:spacing w:line="360" w:lineRule="auto"/>
              <w:rPr>
                <w:szCs w:val="21"/>
              </w:rPr>
            </w:pPr>
            <w:r>
              <w:rPr>
                <w:rFonts w:hint="eastAsia" w:ascii="宋体" w:hAnsi="宋体" w:cs="宋体"/>
                <w:szCs w:val="21"/>
              </w:rPr>
              <w:t>286720元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9</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384" w:type="dxa"/>
            <w:tcBorders>
              <w:top w:val="single" w:color="auto" w:sz="4" w:space="0"/>
              <w:left w:val="single" w:color="auto" w:sz="4" w:space="0"/>
              <w:bottom w:val="single" w:color="auto" w:sz="4" w:space="0"/>
            </w:tcBorders>
            <w:vAlign w:val="center"/>
          </w:tcPr>
          <w:p>
            <w:pPr>
              <w:spacing w:line="480" w:lineRule="exact"/>
              <w:jc w:val="left"/>
              <w:rPr>
                <w:szCs w:val="21"/>
              </w:rPr>
            </w:pPr>
            <w:r>
              <w:rPr>
                <w:rFonts w:hint="eastAsia" w:ascii="宋体" w:hAnsi="宋体" w:cs="宋体"/>
                <w:color w:val="000000"/>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10</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szCs w:val="21"/>
              </w:rPr>
            </w:pPr>
            <w:r>
              <w:rPr>
                <w:rFonts w:hint="eastAsia"/>
                <w:szCs w:val="21"/>
              </w:rPr>
              <w:t>交货、安装、调试期</w:t>
            </w:r>
          </w:p>
        </w:tc>
        <w:tc>
          <w:tcPr>
            <w:tcW w:w="6384" w:type="dxa"/>
            <w:tcBorders>
              <w:top w:val="single" w:color="auto" w:sz="4" w:space="0"/>
              <w:left w:val="single" w:color="auto" w:sz="4" w:space="0"/>
              <w:bottom w:val="single" w:color="auto" w:sz="4" w:space="0"/>
            </w:tcBorders>
            <w:vAlign w:val="center"/>
          </w:tcPr>
          <w:p>
            <w:pPr>
              <w:spacing w:line="480" w:lineRule="exact"/>
              <w:jc w:val="left"/>
              <w:rPr>
                <w:szCs w:val="21"/>
              </w:rPr>
            </w:pPr>
            <w:r>
              <w:rPr>
                <w:rFonts w:hint="eastAsia" w:ascii="宋体" w:hAnsi="宋体" w:cs="宋体"/>
                <w:color w:val="000000"/>
                <w:szCs w:val="21"/>
              </w:rPr>
              <w:t>合同签订之日起7日历天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11</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资格条件</w:t>
            </w:r>
          </w:p>
        </w:tc>
        <w:tc>
          <w:tcPr>
            <w:tcW w:w="6384" w:type="dxa"/>
            <w:tcBorders>
              <w:top w:val="single" w:color="auto" w:sz="4" w:space="0"/>
              <w:left w:val="single" w:color="auto" w:sz="4" w:space="0"/>
              <w:bottom w:val="single" w:color="auto" w:sz="4" w:space="0"/>
            </w:tcBorders>
            <w:vAlign w:val="center"/>
          </w:tcPr>
          <w:p>
            <w:pPr>
              <w:spacing w:line="420" w:lineRule="exact"/>
            </w:pPr>
            <w:r>
              <w:t>1.满足《中华人民共和国政府采购法》第二十二条规定；</w:t>
            </w:r>
          </w:p>
          <w:p>
            <w:pPr>
              <w:spacing w:line="420" w:lineRule="exact"/>
            </w:pPr>
            <w:r>
              <w:t>2.落实政府采购政策需满足的资格要求：/</w:t>
            </w:r>
          </w:p>
          <w:p>
            <w:pPr>
              <w:spacing w:line="420" w:lineRule="exact"/>
            </w:pPr>
            <w:r>
              <w:t>3.本项目的特定资格要求：/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12</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384"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13</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384"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single"/>
              </w:rPr>
              <w:t>9</w:t>
            </w:r>
            <w:r>
              <w:rPr>
                <w:rFonts w:ascii="宋体" w:hAnsi="宋体"/>
                <w:szCs w:val="21"/>
                <w:u w:val="single"/>
              </w:rPr>
              <w:t>0日历天</w:t>
            </w:r>
            <w:r>
              <w:rPr>
                <w:rFonts w:hint="eastAsia" w:ascii="宋体" w:hAnsi="宋体"/>
                <w:szCs w:val="21"/>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cs="宋体"/>
                <w:szCs w:val="21"/>
              </w:rPr>
              <w:t>14</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384"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ascii="宋体" w:hAnsi="宋体"/>
                <w:szCs w:val="21"/>
              </w:rPr>
              <w:t>1</w:t>
            </w:r>
            <w:r>
              <w:rPr>
                <w:rFonts w:hint="eastAsia" w:ascii="宋体" w:hAnsi="宋体"/>
                <w:szCs w:val="21"/>
              </w:rPr>
              <w:t>5</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szCs w:val="21"/>
              </w:rPr>
              <w:t>提交响应文件</w:t>
            </w:r>
          </w:p>
        </w:tc>
        <w:tc>
          <w:tcPr>
            <w:tcW w:w="6384" w:type="dxa"/>
            <w:tcBorders>
              <w:top w:val="single" w:color="auto" w:sz="4" w:space="0"/>
              <w:left w:val="single" w:color="auto" w:sz="4" w:space="0"/>
              <w:bottom w:val="single" w:color="auto" w:sz="4" w:space="0"/>
            </w:tcBorders>
            <w:vAlign w:val="center"/>
          </w:tcPr>
          <w:p>
            <w:pPr>
              <w:spacing w:line="440" w:lineRule="exact"/>
              <w:rPr>
                <w:rFonts w:ascii="宋体" w:hAnsi="宋体" w:cs="宋体"/>
                <w:kern w:val="0"/>
                <w:szCs w:val="21"/>
              </w:rPr>
            </w:pPr>
            <w:r>
              <w:rPr>
                <w:rFonts w:hint="eastAsia" w:ascii="宋体" w:hAnsi="宋体" w:cs="宋体"/>
                <w:szCs w:val="21"/>
              </w:rPr>
              <w:t>本次竞争性磋商不要求响应人提供纸质版磋商响应文件，磋商响应人制作完成并加盖磋商响应人公章（PDF等不可编辑的电子文件）后应对磋商响应文件进行文档加密。磋商响应人应在竞争性磋商文件截止时间前将加密磋商响应文件电子档发至504476178@qq.com邮箱。磋商响应人应在竞争性磋商文件截止时间后30分钟内将加密文件电子档密码发至504476178@qq.com邮箱。本项目实行远程询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ascii="宋体" w:hAnsi="宋体"/>
                <w:szCs w:val="21"/>
              </w:rPr>
              <w:t>1</w:t>
            </w:r>
            <w:r>
              <w:rPr>
                <w:rFonts w:hint="eastAsia" w:ascii="宋体" w:hAnsi="宋体"/>
                <w:szCs w:val="21"/>
              </w:rPr>
              <w:t>6</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384"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在安庆博物馆（http://www.aqbwg.cn/）招标采购栏目、安庆市皖宜项目咨询管理有限公司（http://wyxmzx.com）发布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17</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384" w:type="dxa"/>
            <w:tcBorders>
              <w:top w:val="single" w:color="auto" w:sz="4" w:space="0"/>
              <w:left w:val="single" w:color="auto" w:sz="4" w:space="0"/>
              <w:bottom w:val="single" w:color="auto" w:sz="4" w:space="0"/>
            </w:tcBorders>
            <w:vAlign w:val="center"/>
          </w:tcPr>
          <w:p>
            <w:pPr>
              <w:pStyle w:val="22"/>
              <w:widowControl/>
              <w:spacing w:line="420" w:lineRule="exact"/>
              <w:jc w:val="both"/>
              <w:rPr>
                <w:rFonts w:ascii="宋体" w:hAnsi="宋体" w:cs="宋体"/>
                <w:szCs w:val="21"/>
              </w:rPr>
            </w:pPr>
            <w:r>
              <w:rPr>
                <w:rFonts w:hint="eastAsia" w:ascii="宋体" w:hAnsi="宋体" w:cs="宋体"/>
                <w:sz w:val="21"/>
                <w:szCs w:val="21"/>
              </w:rPr>
              <w:t>时间:2022年12月12日9点30分</w:t>
            </w:r>
          </w:p>
          <w:p>
            <w:pPr>
              <w:spacing w:line="420" w:lineRule="exact"/>
              <w:rPr>
                <w:rFonts w:ascii="宋体"/>
                <w:szCs w:val="21"/>
              </w:rPr>
            </w:pPr>
            <w:r>
              <w:rPr>
                <w:rFonts w:hint="eastAsia" w:ascii="宋体" w:hAnsi="宋体" w:cs="宋体"/>
                <w:szCs w:val="21"/>
              </w:rPr>
              <w:t>地点: 安庆市龙山路213号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18</w:t>
            </w:r>
          </w:p>
        </w:tc>
        <w:tc>
          <w:tcPr>
            <w:tcW w:w="196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384"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19</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履约保证金</w:t>
            </w:r>
          </w:p>
        </w:tc>
        <w:tc>
          <w:tcPr>
            <w:tcW w:w="6384"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履约保证金金额：成交价的</w:t>
            </w:r>
            <w:r>
              <w:rPr>
                <w:rFonts w:hint="eastAsia" w:ascii="宋体" w:hAnsi="宋体"/>
                <w:b/>
                <w:szCs w:val="21"/>
              </w:rPr>
              <w:t>2.5</w:t>
            </w:r>
            <w:r>
              <w:rPr>
                <w:rFonts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rPr>
                <w:rFonts w:ascii="宋体"/>
                <w:szCs w:val="21"/>
              </w:rPr>
            </w:pPr>
            <w:r>
              <w:rPr>
                <w:rFonts w:hint="eastAsia" w:ascii="宋体" w:hAnsi="宋体"/>
                <w:szCs w:val="21"/>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r>
              <w:rPr>
                <w:rFonts w:hint="eastAsia" w:ascii="宋体" w:hAnsi="宋体"/>
                <w:szCs w:val="21"/>
              </w:rPr>
              <w:t>0</w:t>
            </w:r>
          </w:p>
        </w:tc>
        <w:tc>
          <w:tcPr>
            <w:tcW w:w="196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384"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szCs w:val="21"/>
              </w:rPr>
              <w:t>按本磋商文件的规定标准收取，由成交人支付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21</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付款方式</w:t>
            </w:r>
          </w:p>
        </w:tc>
        <w:tc>
          <w:tcPr>
            <w:tcW w:w="6384" w:type="dxa"/>
            <w:tcBorders>
              <w:top w:val="single" w:color="auto" w:sz="4" w:space="0"/>
              <w:left w:val="single" w:color="auto" w:sz="4" w:space="0"/>
              <w:bottom w:val="single" w:color="auto" w:sz="4" w:space="0"/>
            </w:tcBorders>
            <w:vAlign w:val="center"/>
          </w:tcPr>
          <w:p>
            <w:pPr>
              <w:pStyle w:val="78"/>
              <w:ind w:left="0" w:firstLine="0"/>
              <w:rPr>
                <w:color w:val="auto"/>
              </w:rPr>
            </w:pPr>
            <w:r>
              <w:rPr>
                <w:rFonts w:hint="eastAsia" w:ascii="宋体" w:hAnsi="宋体" w:cs="宋体"/>
                <w:color w:val="auto"/>
              </w:rPr>
              <w:t>合同签订后支付合同价款的40％，项目建设完成经监理组织验收合格后支付70%，双方签字确认，经审计后支付至审定价款的100%。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22</w:t>
            </w:r>
          </w:p>
        </w:tc>
        <w:tc>
          <w:tcPr>
            <w:tcW w:w="19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rPr>
            </w:pPr>
            <w:r>
              <w:rPr>
                <w:rFonts w:hint="eastAsia" w:ascii="宋体" w:hAnsi="宋体" w:cs="宋体"/>
                <w:szCs w:val="21"/>
              </w:rPr>
              <w:t>备   注</w:t>
            </w:r>
          </w:p>
        </w:tc>
        <w:tc>
          <w:tcPr>
            <w:tcW w:w="6384" w:type="dxa"/>
            <w:tcBorders>
              <w:top w:val="single" w:color="auto" w:sz="4" w:space="0"/>
              <w:left w:val="single" w:color="auto" w:sz="4" w:space="0"/>
              <w:bottom w:val="single" w:color="auto" w:sz="4" w:space="0"/>
            </w:tcBorders>
            <w:vAlign w:val="center"/>
          </w:tcPr>
          <w:p>
            <w:pPr>
              <w:spacing w:line="420" w:lineRule="exact"/>
              <w:rPr>
                <w:rFonts w:ascii="宋体" w:hAnsi="宋体" w:cs="宋体"/>
                <w:szCs w:val="21"/>
              </w:rPr>
            </w:pPr>
            <w:r>
              <w:rPr>
                <w:rFonts w:hint="eastAsia" w:ascii="宋体" w:hAnsi="宋体" w:cs="宋体"/>
                <w:szCs w:val="21"/>
              </w:rPr>
              <w:t>1、本竞争性谈判文件的解释权归采购单位；</w:t>
            </w:r>
          </w:p>
          <w:p>
            <w:pPr>
              <w:spacing w:line="420" w:lineRule="exact"/>
            </w:pPr>
            <w:r>
              <w:rPr>
                <w:rFonts w:hint="eastAsia" w:ascii="宋体" w:hAnsi="宋体" w:cs="宋体"/>
                <w:szCs w:val="21"/>
              </w:rPr>
              <w:t>2、本项</w:t>
            </w:r>
            <w:r>
              <w:rPr>
                <w:rFonts w:hint="eastAsia" w:ascii="宋体" w:hAnsi="宋体" w:cs="宋体"/>
                <w:bCs/>
                <w:szCs w:val="21"/>
              </w:rPr>
              <w:t>目若涉及到专业分包工程，如成交人没有相应资质，则必须委托有资质的单位实施。该专业分包单位的选定须事先征得采购人同意。</w:t>
            </w:r>
          </w:p>
        </w:tc>
      </w:tr>
    </w:tbl>
    <w:p>
      <w:pPr>
        <w:rPr>
          <w:rFonts w:ascii="宋体" w:hAnsi="宋体"/>
          <w:kern w:val="0"/>
          <w:lang w:val="zh-CN"/>
        </w:rPr>
      </w:pPr>
      <w:bookmarkStart w:id="47" w:name="_Toc439316872"/>
      <w:r>
        <w:rPr>
          <w:kern w:val="0"/>
          <w:lang w:val="zh-CN"/>
        </w:rPr>
        <w:br w:type="page"/>
      </w:r>
    </w:p>
    <w:p>
      <w:pPr>
        <w:pStyle w:val="2"/>
        <w:rPr>
          <w:rFonts w:cs="Tahoma"/>
          <w:bCs/>
          <w:kern w:val="0"/>
          <w:sz w:val="32"/>
          <w:szCs w:val="32"/>
          <w:lang w:val="zh-CN"/>
        </w:rPr>
      </w:pPr>
      <w:bookmarkStart w:id="48" w:name="_Toc54941331"/>
      <w:bookmarkStart w:id="49"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47"/>
      <w:bookmarkEnd w:id="48"/>
      <w:bookmarkEnd w:id="49"/>
    </w:p>
    <w:p>
      <w:pPr>
        <w:autoSpaceDE w:val="0"/>
        <w:autoSpaceDN w:val="0"/>
        <w:adjustRightInd w:val="0"/>
        <w:snapToGrid w:val="0"/>
        <w:spacing w:line="480" w:lineRule="exact"/>
        <w:ind w:firstLine="420"/>
        <w:outlineLvl w:val="2"/>
        <w:rPr>
          <w:rFonts w:ascii="宋体"/>
          <w:b/>
          <w:bCs/>
          <w:szCs w:val="21"/>
          <w:lang w:val="zh-CN"/>
        </w:rPr>
      </w:pPr>
      <w:bookmarkStart w:id="50"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0"/>
    </w:p>
    <w:p>
      <w:pPr>
        <w:spacing w:line="540" w:lineRule="exact"/>
        <w:ind w:firstLine="420" w:firstLineChars="200"/>
        <w:rPr>
          <w:rFonts w:ascii="宋体" w:hAnsi="宋体"/>
          <w:szCs w:val="21"/>
          <w:lang w:val="zh-CN"/>
        </w:rPr>
      </w:pPr>
      <w:bookmarkStart w:id="51" w:name="_Toc21078"/>
      <w:bookmarkStart w:id="52" w:name="_Toc10523"/>
      <w:bookmarkStart w:id="53" w:name="_Toc439316919"/>
      <w:bookmarkStart w:id="54" w:name="_Toc439316873"/>
      <w:bookmarkStart w:id="55" w:name="_Toc15055"/>
      <w:bookmarkStart w:id="56" w:name="_Toc7325"/>
      <w:bookmarkStart w:id="57" w:name="_Toc25270"/>
      <w:r>
        <w:rPr>
          <w:rFonts w:ascii="宋体" w:hAnsi="宋体"/>
          <w:szCs w:val="21"/>
          <w:lang w:val="zh-CN"/>
        </w:rPr>
        <w:t>1</w:t>
      </w:r>
      <w:r>
        <w:rPr>
          <w:rFonts w:hint="eastAsia" w:ascii="宋体" w:hAnsi="宋体"/>
          <w:szCs w:val="21"/>
          <w:lang w:val="zh-CN"/>
        </w:rPr>
        <w:t>、适用法律</w:t>
      </w:r>
      <w:bookmarkEnd w:id="51"/>
      <w:bookmarkEnd w:id="52"/>
      <w:bookmarkEnd w:id="53"/>
      <w:bookmarkEnd w:id="54"/>
      <w:bookmarkEnd w:id="55"/>
      <w:bookmarkEnd w:id="56"/>
      <w:bookmarkEnd w:id="57"/>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58" w:name="_Toc27113"/>
      <w:bookmarkStart w:id="59" w:name="_Toc439316874"/>
      <w:bookmarkStart w:id="60" w:name="_Toc24643"/>
      <w:bookmarkStart w:id="61" w:name="_Toc439316920"/>
      <w:bookmarkStart w:id="62" w:name="_Toc10933"/>
      <w:bookmarkStart w:id="63" w:name="_Toc8228"/>
      <w:bookmarkStart w:id="64" w:name="_Toc1704"/>
      <w:r>
        <w:rPr>
          <w:rFonts w:ascii="宋体" w:hAnsi="宋体"/>
          <w:szCs w:val="21"/>
          <w:lang w:val="zh-CN"/>
        </w:rPr>
        <w:t>2</w:t>
      </w:r>
      <w:r>
        <w:rPr>
          <w:rFonts w:hint="eastAsia" w:ascii="宋体" w:hAnsi="宋体"/>
          <w:szCs w:val="21"/>
          <w:lang w:val="zh-CN"/>
        </w:rPr>
        <w:t>、定义</w:t>
      </w:r>
      <w:bookmarkEnd w:id="58"/>
      <w:bookmarkEnd w:id="59"/>
      <w:bookmarkEnd w:id="60"/>
      <w:bookmarkEnd w:id="61"/>
      <w:bookmarkEnd w:id="62"/>
      <w:bookmarkEnd w:id="63"/>
      <w:bookmarkEnd w:id="64"/>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、采购单位是指采购人和采购代理机构。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rPr>
      </w:pPr>
      <w:r>
        <w:rPr>
          <w:rFonts w:ascii="宋体" w:hAnsi="宋体"/>
          <w:szCs w:val="21"/>
          <w:lang w:val="zh-CN"/>
        </w:rPr>
        <w:t>5</w:t>
      </w:r>
      <w:r>
        <w:rPr>
          <w:rFonts w:hint="eastAsia" w:ascii="宋体" w:hAnsi="宋体"/>
          <w:szCs w:val="21"/>
          <w:lang w:val="zh-CN"/>
        </w:rPr>
        <w:t>、联合体磋商：本项目不接受联合体</w:t>
      </w:r>
      <w:r>
        <w:rPr>
          <w:rFonts w:hint="eastAsia" w:ascii="宋体" w:hAnsi="宋体"/>
          <w:szCs w:val="21"/>
        </w:rPr>
        <w:t>。</w:t>
      </w:r>
    </w:p>
    <w:p>
      <w:pPr>
        <w:spacing w:line="540" w:lineRule="exact"/>
        <w:ind w:firstLine="420" w:firstLineChars="200"/>
        <w:rPr>
          <w:rFonts w:ascii="宋体" w:hAnsi="宋体"/>
          <w:szCs w:val="21"/>
          <w:lang w:val="zh-CN"/>
        </w:rPr>
      </w:pPr>
      <w:bookmarkStart w:id="65" w:name="_Toc439316921"/>
      <w:bookmarkStart w:id="66" w:name="_Toc439316875"/>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65"/>
      <w:bookmarkEnd w:id="66"/>
    </w:p>
    <w:p>
      <w:pPr>
        <w:autoSpaceDE w:val="0"/>
        <w:autoSpaceDN w:val="0"/>
        <w:adjustRightInd w:val="0"/>
        <w:snapToGrid w:val="0"/>
        <w:spacing w:line="480" w:lineRule="exact"/>
        <w:ind w:firstLine="420"/>
        <w:outlineLvl w:val="2"/>
        <w:rPr>
          <w:rFonts w:ascii="宋体"/>
          <w:b/>
          <w:bCs/>
          <w:szCs w:val="21"/>
          <w:lang w:val="zh-CN"/>
        </w:rPr>
      </w:pPr>
      <w:bookmarkStart w:id="67" w:name="_Toc54941333"/>
      <w:r>
        <w:rPr>
          <w:rFonts w:hint="eastAsia" w:ascii="宋体" w:hAnsi="宋体"/>
          <w:b/>
          <w:bCs/>
          <w:szCs w:val="21"/>
          <w:lang w:val="zh-CN"/>
        </w:rPr>
        <w:t>二、磋商文件</w:t>
      </w:r>
      <w:bookmarkEnd w:id="67"/>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货物需求及技术要求；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hAnsi="宋体"/>
          <w:szCs w:val="21"/>
        </w:rPr>
      </w:pPr>
      <w:r>
        <w:rPr>
          <w:rFonts w:hint="eastAsia" w:ascii="宋体" w:hAnsi="宋体"/>
          <w:szCs w:val="21"/>
        </w:rPr>
        <w:t>（5）第五章  响应文件格式；</w:t>
      </w:r>
    </w:p>
    <w:p>
      <w:pPr>
        <w:spacing w:line="540" w:lineRule="exact"/>
        <w:ind w:firstLine="420" w:firstLineChars="200"/>
        <w:rPr>
          <w:rFonts w:ascii="宋体" w:hAnsi="宋体" w:cs="宋体"/>
          <w:szCs w:val="21"/>
        </w:rPr>
      </w:pPr>
      <w:r>
        <w:rPr>
          <w:rFonts w:hint="eastAsia" w:ascii="宋体" w:hAnsi="宋体"/>
          <w:szCs w:val="21"/>
        </w:rPr>
        <w:t>（6）第六章  政府采购供应商质疑函范本。</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w:t>
      </w:r>
      <w:r>
        <w:rPr>
          <w:rFonts w:hint="eastAsia" w:ascii="宋体" w:hAnsi="宋体" w:cs="宋体"/>
          <w:szCs w:val="21"/>
        </w:rPr>
        <w:t>向采购单位提出并将问题发送至邮箱504476178@qq.com</w:t>
      </w:r>
      <w:r>
        <w:rPr>
          <w:rFonts w:hint="eastAsia" w:ascii="宋体" w:hAnsi="宋体"/>
          <w:szCs w:val="21"/>
        </w:rPr>
        <w:t>，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hAnsi="宋体"/>
          <w:szCs w:val="21"/>
        </w:rPr>
      </w:pPr>
      <w:r>
        <w:rPr>
          <w:rFonts w:hint="eastAsia" w:ascii="宋体" w:hAnsi="宋体"/>
          <w:szCs w:val="21"/>
        </w:rPr>
        <w:t>8.1、供应商可以要求采购单位对磋商文件中的有关问题进行答疑或澄清。</w:t>
      </w:r>
    </w:p>
    <w:p>
      <w:pPr>
        <w:spacing w:line="540" w:lineRule="exact"/>
        <w:ind w:firstLine="420" w:firstLineChars="200"/>
        <w:rPr>
          <w:rFonts w:ascii="宋体" w:hAnsi="宋体"/>
          <w:szCs w:val="21"/>
        </w:rPr>
      </w:pPr>
      <w:r>
        <w:rPr>
          <w:rFonts w:hint="eastAsia" w:ascii="宋体" w:hAnsi="宋体"/>
          <w:szCs w:val="21"/>
        </w:rPr>
        <w:t>8.2、供应商对磋商文件如有质疑，应在响应文件提交截止时间2个工作日前向采购单位提出并将问题发送至邮箱504476178@qq.com。</w:t>
      </w:r>
    </w:p>
    <w:p>
      <w:pPr>
        <w:spacing w:line="540" w:lineRule="exact"/>
        <w:ind w:firstLine="420" w:firstLineChars="200"/>
        <w:rPr>
          <w:rFonts w:ascii="宋体" w:hAnsi="宋体"/>
          <w:szCs w:val="21"/>
        </w:rPr>
      </w:pPr>
      <w:r>
        <w:rPr>
          <w:rFonts w:hint="eastAsia" w:ascii="宋体" w:hAnsi="宋体"/>
          <w:szCs w:val="21"/>
        </w:rPr>
        <w:t>8.3、如果供应商未在约定的时间内对磋商文件有关条款提出质疑，视为充分理解磋商文件所有内容，一旦提交响应文件，则认为该供应商接受磋商文件的所有条款。</w:t>
      </w:r>
    </w:p>
    <w:p>
      <w:pPr>
        <w:spacing w:line="540" w:lineRule="exact"/>
        <w:ind w:firstLine="420" w:firstLineChars="200"/>
        <w:rPr>
          <w:rFonts w:ascii="宋体"/>
          <w:szCs w:val="21"/>
        </w:rPr>
      </w:pPr>
      <w:r>
        <w:rPr>
          <w:rFonts w:hint="eastAsia" w:ascii="宋体" w:hAnsi="宋体"/>
          <w:szCs w:val="21"/>
        </w:rPr>
        <w:t>8.4、采购单位对在约定时间收到的、且需要做出澄清的问题，将以本须知所述方式进行答复，但不说明问题的来源。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360" w:lineRule="auto"/>
        <w:ind w:firstLine="420" w:firstLineChars="200"/>
        <w:rPr>
          <w:rFonts w:ascii="宋体"/>
          <w:szCs w:val="21"/>
        </w:rPr>
      </w:pPr>
      <w:r>
        <w:rPr>
          <w:rFonts w:hint="eastAsia" w:ascii="宋体"/>
          <w:szCs w:val="21"/>
        </w:rPr>
        <w:t>9.1、采购单位可以对磋商文件进行修改。</w:t>
      </w:r>
    </w:p>
    <w:p>
      <w:pPr>
        <w:spacing w:line="360" w:lineRule="auto"/>
        <w:ind w:firstLine="420" w:firstLineChars="200"/>
        <w:rPr>
          <w:rFonts w:ascii="宋体"/>
          <w:szCs w:val="21"/>
        </w:rPr>
      </w:pPr>
      <w:r>
        <w:rPr>
          <w:rFonts w:hint="eastAsia" w:ascii="宋体"/>
          <w:szCs w:val="21"/>
        </w:rPr>
        <w:t>9.2、采购单位对供应商质疑的答复和对磋商文件的澄清、修改、补充说明等内容均通过</w:t>
      </w:r>
      <w:r>
        <w:rPr>
          <w:rFonts w:hint="eastAsia" w:ascii="宋体" w:hAnsi="宋体" w:cs="宋体"/>
          <w:szCs w:val="21"/>
        </w:rPr>
        <w:t>安庆博物馆（http://www.aqbwg.cn/）</w:t>
      </w:r>
      <w:r>
        <w:rPr>
          <w:rFonts w:hint="eastAsia" w:ascii="宋体"/>
          <w:szCs w:val="21"/>
        </w:rPr>
        <w:t>栏目、安庆市皖宜项目咨询管理有限公司（http://wyxmzx.com/index.html）发布，该修改内容作为磋商文件的组成部分，具有约束作用。</w:t>
      </w:r>
    </w:p>
    <w:p>
      <w:pPr>
        <w:spacing w:line="360" w:lineRule="auto"/>
        <w:ind w:firstLine="420" w:firstLineChars="200"/>
        <w:rPr>
          <w:rFonts w:ascii="宋体"/>
          <w:szCs w:val="21"/>
        </w:rPr>
      </w:pPr>
      <w:r>
        <w:rPr>
          <w:rFonts w:hint="eastAsia" w:ascii="宋体"/>
          <w:szCs w:val="21"/>
        </w:rPr>
        <w:t>9.3、当磋商文件与对磋商文件的澄清、修改、补充等在同一内容的表述上不一致时，以最后发出的为准。</w:t>
      </w:r>
    </w:p>
    <w:p>
      <w:pPr>
        <w:spacing w:line="360" w:lineRule="auto"/>
        <w:ind w:firstLine="420" w:firstLineChars="200"/>
        <w:rPr>
          <w:rFonts w:ascii="宋体"/>
          <w:szCs w:val="21"/>
        </w:rPr>
      </w:pPr>
      <w:r>
        <w:rPr>
          <w:rFonts w:hint="eastAsia" w:ascii="宋体"/>
          <w:szCs w:val="21"/>
        </w:rPr>
        <w:t>9.4、为使供应商有充分时间对磋商文件的澄清、修改、补充部分进行研究、或是由于其他原因，采购单位可以决定顺延磋商时间，具体时间通过</w:t>
      </w:r>
      <w:r>
        <w:rPr>
          <w:rFonts w:hint="eastAsia" w:ascii="宋体" w:hAnsi="宋体" w:cs="宋体"/>
          <w:szCs w:val="21"/>
        </w:rPr>
        <w:t>安庆博物馆（http://www.aqbwg.cn/）</w:t>
      </w:r>
      <w:r>
        <w:rPr>
          <w:rFonts w:hint="eastAsia" w:ascii="宋体"/>
          <w:szCs w:val="21"/>
        </w:rPr>
        <w:t>栏目、安庆市皖宜项目咨询管理有限公司（http://wyxmzx.com/index.html）网站发布。</w:t>
      </w:r>
    </w:p>
    <w:p>
      <w:pPr>
        <w:pStyle w:val="4"/>
        <w:numPr>
          <w:ilvl w:val="0"/>
          <w:numId w:val="5"/>
        </w:numPr>
        <w:wordWrap/>
        <w:spacing w:line="360" w:lineRule="auto"/>
        <w:ind w:firstLine="413" w:firstLineChars="196"/>
      </w:pPr>
      <w:bookmarkStart w:id="68" w:name="_Toc54941334"/>
      <w:bookmarkStart w:id="69" w:name="_Toc31936"/>
      <w:r>
        <w:rPr>
          <w:rFonts w:hint="eastAsia"/>
        </w:rPr>
        <w:t>响应文件编制</w:t>
      </w:r>
      <w:bookmarkEnd w:id="68"/>
      <w:bookmarkEnd w:id="69"/>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、响应文件的货物报价表上应清楚地标明供应商拟提供货物的名称、单位、数量、单价和总价等内容。</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asci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w:t>
      </w:r>
      <w:r>
        <w:rPr>
          <w:rFonts w:hint="eastAsia" w:ascii="宋体" w:hAnsi="宋体" w:cs="宋体"/>
          <w:szCs w:val="21"/>
        </w:rPr>
        <w:t>（包括但不限于：所投货物、保险、税费、包装、加工及加工损耗、运输、现场落地、安装及安装损耗、调试、检测验收和交付</w:t>
      </w:r>
      <w:r>
        <w:rPr>
          <w:rFonts w:hint="eastAsia" w:ascii="宋体" w:hAnsi="宋体" w:cs="宋体"/>
        </w:rPr>
        <w:t>后约定</w:t>
      </w:r>
      <w:r>
        <w:rPr>
          <w:rFonts w:hint="eastAsia" w:ascii="宋体" w:hAnsi="宋体" w:cs="宋体"/>
          <w:szCs w:val="21"/>
        </w:rPr>
        <w:t>期限内维保等）。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.5</w:t>
      </w:r>
      <w:r>
        <w:rPr>
          <w:rFonts w:ascii="宋体" w:hAnsi="宋体" w:cs="宋体"/>
          <w:szCs w:val="21"/>
        </w:rPr>
        <w:t>.1</w:t>
      </w:r>
      <w:r>
        <w:rPr>
          <w:rFonts w:hint="eastAsia" w:ascii="宋体" w:hAnsi="宋体" w:cs="宋体"/>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5.2</w:t>
      </w:r>
      <w:r>
        <w:rPr>
          <w:rFonts w:hint="eastAsia" w:ascii="宋体" w:hAnsi="宋体" w:cs="宋体"/>
          <w:szCs w:val="21"/>
        </w:rPr>
        <w:t>、若大写金额和小写金额不一致的，以大写金额为准;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5.3</w:t>
      </w:r>
      <w:r>
        <w:rPr>
          <w:rFonts w:hint="eastAsia" w:ascii="宋体" w:hAnsi="宋体" w:cs="宋体"/>
          <w:szCs w:val="21"/>
        </w:rPr>
        <w:t>、单价金额小数点或者百分比有明显错位的，应以磋商响应函(磋商报价)为准，并修正单价。</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5.4</w:t>
      </w:r>
      <w:r>
        <w:rPr>
          <w:rFonts w:hint="eastAsia" w:ascii="宋体" w:hAnsi="宋体" w:cs="宋体"/>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w:t>
      </w:r>
      <w:r>
        <w:rPr>
          <w:rFonts w:hint="eastAsia" w:ascii="宋体" w:hAnsi="宋体"/>
          <w:color w:val="000000"/>
          <w:szCs w:val="21"/>
        </w:rPr>
        <w:t>修正后的报价应当采用书面形式，并加盖公章或者由法定代表人或其委托代理人签字,但不得超出响应文件的范围或者改变磋商响应文件的实质性内容。经供应商确认后产生约束力，供应商不确认的，其磋商响应无效</w:t>
      </w:r>
      <w:r>
        <w:rPr>
          <w:rFonts w:hint="eastAsia" w:ascii="宋体" w:hAnsi="宋体" w:cs="宋体"/>
          <w:szCs w:val="21"/>
        </w:rPr>
        <w:t>。</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hAnsi="宋体"/>
          <w:szCs w:val="21"/>
        </w:rPr>
      </w:pPr>
      <w:r>
        <w:rPr>
          <w:rFonts w:ascii="宋体" w:hAnsi="宋体" w:cs="宋体"/>
          <w:b/>
          <w:szCs w:val="21"/>
        </w:rPr>
        <w:t>14</w:t>
      </w:r>
      <w:r>
        <w:rPr>
          <w:rFonts w:hint="eastAsia" w:ascii="宋体" w:hAnsi="宋体" w:cs="宋体"/>
          <w:b/>
          <w:szCs w:val="21"/>
        </w:rPr>
        <w:t>、</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1"/>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、响应文件应由供应商的法定代表人（或负责人）或委托代理人签署，并加盖供应商公章。</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响应文件不得行间插字、涂改或增删。如有修改错漏处，必须由供应商的法定代表人（或负责人）或委托代理人签字，并加盖供应商公章。</w:t>
      </w:r>
    </w:p>
    <w:p>
      <w:pPr>
        <w:widowControl/>
        <w:spacing w:line="500" w:lineRule="exact"/>
        <w:ind w:firstLine="420" w:firstLineChars="200"/>
        <w:jc w:val="left"/>
        <w:rPr>
          <w:rFonts w:ascii="宋体" w:hAnsi="宋体" w:cs="宋体"/>
          <w:b/>
          <w:bCs/>
          <w:szCs w:val="21"/>
        </w:rPr>
      </w:pPr>
      <w:r>
        <w:rPr>
          <w:rFonts w:ascii="宋体" w:hAnsi="宋体" w:cs="宋体"/>
          <w:szCs w:val="21"/>
        </w:rPr>
        <w:t>16.4</w:t>
      </w:r>
      <w:r>
        <w:rPr>
          <w:rFonts w:hint="eastAsia" w:ascii="宋体" w:hAnsi="宋体" w:cs="宋体"/>
          <w:szCs w:val="21"/>
        </w:rPr>
        <w:t>、</w:t>
      </w:r>
      <w:bookmarkStart w:id="70" w:name="_Toc476584424"/>
      <w:r>
        <w:rPr>
          <w:rFonts w:hint="eastAsia" w:hAnsi="宋体" w:cs="宋体"/>
          <w:b/>
        </w:rPr>
        <w:t>响应文件封面、磋商响应函</w:t>
      </w:r>
      <w:r>
        <w:rPr>
          <w:rFonts w:hint="eastAsia" w:hAnsi="宋体" w:cs="宋体"/>
          <w:b/>
          <w:spacing w:val="-2"/>
        </w:rPr>
        <w:t>、货物报价表、技术参数响应表、最后报价表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spacing w:val="-2"/>
        </w:rPr>
        <w:t>响应文件封面、磋商响应函及</w:t>
      </w:r>
      <w:r>
        <w:rPr>
          <w:rFonts w:hint="eastAsia" w:hAnsi="宋体" w:cs="宋体"/>
          <w:b/>
          <w:spacing w:val="-2"/>
        </w:rPr>
        <w:t>货物报价表、</w:t>
      </w:r>
      <w:r>
        <w:rPr>
          <w:rFonts w:hint="eastAsia" w:ascii="宋体" w:hAnsi="宋体"/>
          <w:b/>
          <w:bCs/>
          <w:szCs w:val="21"/>
        </w:rPr>
        <w:t>技术参数响应表</w:t>
      </w:r>
      <w:r>
        <w:rPr>
          <w:rFonts w:hint="eastAsia" w:ascii="宋体" w:hAnsi="宋体" w:cs="宋体"/>
          <w:b/>
        </w:rPr>
        <w:t>、</w:t>
      </w:r>
      <w:r>
        <w:rPr>
          <w:rFonts w:hint="eastAsia" w:ascii="宋体" w:hAnsi="宋体" w:cs="宋体"/>
          <w:b/>
          <w:spacing w:val="-2"/>
        </w:rPr>
        <w:t>最后报价表、</w:t>
      </w:r>
      <w:r>
        <w:rPr>
          <w:rFonts w:hint="eastAsia" w:ascii="宋体" w:hAnsi="宋体" w:cs="宋体"/>
          <w:b/>
        </w:rPr>
        <w:t>法定代表人授权委托书的签字或盖章</w:t>
      </w:r>
      <w:r>
        <w:rPr>
          <w:rFonts w:hint="eastAsia" w:ascii="宋体" w:hAnsi="宋体" w:cs="宋体"/>
          <w:b/>
          <w:spacing w:val="-2"/>
        </w:rPr>
        <w:t>不符合磋商文件要求的，磋商小组可要求其法定代表人或其委托的委托代理人补齐签字或承诺在签订合同前按照磋商文件要求加盖印章。</w:t>
      </w:r>
    </w:p>
    <w:p>
      <w:pPr>
        <w:spacing w:line="360" w:lineRule="auto"/>
        <w:ind w:firstLine="412" w:firstLineChars="200"/>
        <w:rPr>
          <w:rFonts w:hAnsi="宋体" w:cs="宋体"/>
          <w:spacing w:val="-2"/>
        </w:rPr>
      </w:pPr>
    </w:p>
    <w:p>
      <w:pPr>
        <w:pStyle w:val="4"/>
        <w:ind w:firstLine="422" w:firstLineChars="200"/>
        <w:rPr>
          <w:rFonts w:cs="宋体"/>
        </w:rPr>
      </w:pPr>
      <w:bookmarkStart w:id="71" w:name="_Toc54941335"/>
      <w:r>
        <w:rPr>
          <w:rFonts w:hint="eastAsia" w:cs="宋体"/>
        </w:rPr>
        <w:t>四、响应文件的</w:t>
      </w:r>
      <w:bookmarkEnd w:id="70"/>
      <w:r>
        <w:rPr>
          <w:rFonts w:hint="eastAsia" w:cs="宋体"/>
        </w:rPr>
        <w:t>提交</w:t>
      </w:r>
      <w:bookmarkEnd w:id="71"/>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fldChar w:fldCharType="begin"/>
      </w:r>
      <w:r>
        <w:rPr>
          <w:rFonts w:hint="eastAsia" w:ascii="宋体" w:hAnsi="宋体" w:cs="宋体"/>
          <w:color w:val="auto"/>
          <w:szCs w:val="21"/>
          <w:u w:val="none"/>
        </w:rPr>
        <w:instrText xml:space="preserve"> HYPERLINK "mailto:本次竞争性磋商不要求磋商响应人提供纸质版磋商响应文件，磋商响应人制作完成并加盖磋商响应人公章（PDF等不可编辑的电子文件）后应对磋商响应文件进行文档加密。磋商响应人应在竞争性磋商文件截止时间前将加密磋商响应文件电子档发至504476178@qq.com邮箱。磋商响应人应在竞争性磋商文件截止时间后30分钟内将加密文件电子档密码发至504476178@qq.com邮箱。本项目实行远程询标。" </w:instrText>
      </w:r>
      <w:r>
        <w:rPr>
          <w:rFonts w:hint="eastAsia" w:ascii="宋体" w:hAnsi="宋体" w:cs="宋体"/>
          <w:color w:val="auto"/>
          <w:szCs w:val="21"/>
          <w:u w:val="none"/>
        </w:rPr>
        <w:fldChar w:fldCharType="separate"/>
      </w:r>
      <w:r>
        <w:rPr>
          <w:rStyle w:val="70"/>
          <w:rFonts w:hint="eastAsia" w:ascii="宋体" w:hAnsi="宋体" w:cs="宋体"/>
          <w:color w:val="auto"/>
          <w:szCs w:val="21"/>
          <w:u w:val="none"/>
        </w:rPr>
        <w:t>本次竞争性磋商不要求磋商响应人提供纸质版磋商响应文件，磋商响应人制作完成并加盖磋商响应人公章（PDF等不可编辑的电子文件）后应对磋商响应文件进行文档加密。磋商响应人应在竞争性磋商文件截止时间前将加密磋商响应文件电子档发至504476178@qq.com邮箱。磋商响应人应在竞争性磋商文件截止时间后30分钟内将加密文件电子档密码发至504476178@qq.com邮箱。本项目实行远程询标。</w:t>
      </w:r>
      <w:r>
        <w:rPr>
          <w:rFonts w:hint="eastAsia" w:ascii="宋体" w:hAnsi="宋体" w:cs="宋体"/>
          <w:color w:val="auto"/>
          <w:szCs w:val="21"/>
          <w:u w:val="none"/>
        </w:rPr>
        <w:fldChar w:fldCharType="end"/>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w:t>
      </w:r>
      <w:r>
        <w:rPr>
          <w:rFonts w:hint="eastAsia" w:ascii="宋体" w:hAnsi="宋体" w:cs="宋体"/>
          <w:szCs w:val="21"/>
        </w:rPr>
        <w:t>响应文件提交至指定地点。逾期送达或者未按要求送达指定地点的响应文件，采购单位不予受理</w:t>
      </w:r>
      <w:r>
        <w:rPr>
          <w:rFonts w:hint="eastAsia" w:ascii="宋体" w:hAnsi="宋体" w:cs="宋体"/>
          <w:color w:val="000000"/>
          <w:szCs w:val="21"/>
        </w:rPr>
        <w:t>。</w:t>
      </w:r>
    </w:p>
    <w:p>
      <w:pPr>
        <w:widowControl/>
        <w:spacing w:line="500" w:lineRule="exact"/>
        <w:ind w:firstLine="420" w:firstLineChars="200"/>
        <w:jc w:val="left"/>
        <w:rPr>
          <w:rFonts w:ascii="宋体" w:hAnsi="宋体" w:cs="宋体"/>
          <w:szCs w:val="21"/>
        </w:rPr>
      </w:pPr>
      <w:r>
        <w:rPr>
          <w:rFonts w:hint="eastAsia" w:ascii="宋体" w:hAnsi="宋体" w:cs="宋体"/>
          <w:color w:val="000000"/>
          <w:szCs w:val="21"/>
        </w:rPr>
        <w:t>18.2、采购人有权按本须知的约定，通过修改磋商文件相关条款以延长提交响应文件截止时间。在此情况下，采购人和供应商受提交响应文件截止时间制约的所有权利和义务均应延长至新的提交响应文件截止时间</w:t>
      </w:r>
      <w:r>
        <w:rPr>
          <w:rFonts w:hint="eastAsia" w:ascii="宋体" w:hAnsi="宋体" w:cs="宋体"/>
          <w:szCs w:val="21"/>
        </w:rPr>
        <w:t>。</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bookmarkStart w:id="72" w:name="_Toc476584425"/>
      <w:bookmarkStart w:id="73" w:name="_Toc54941336"/>
      <w:r>
        <w:rPr>
          <w:rFonts w:hint="eastAsia" w:ascii="宋体" w:hAnsi="宋体" w:cs="宋体"/>
          <w:color w:val="000000"/>
          <w:szCs w:val="21"/>
        </w:rPr>
        <w:t>19.1、供应商提交响应文件以后，在约定的提交响应文件截止时间之前，</w:t>
      </w:r>
      <w:r>
        <w:rPr>
          <w:rFonts w:hint="eastAsia" w:ascii="宋体" w:hAnsi="宋体" w:cs="宋体"/>
          <w:szCs w:val="21"/>
        </w:rPr>
        <w:t>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19.2、在规定的响应文件截止时间之后，供应商不得补充、修改磋商文件。</w:t>
      </w:r>
    </w:p>
    <w:p>
      <w:pPr>
        <w:pStyle w:val="4"/>
        <w:spacing w:line="360" w:lineRule="auto"/>
        <w:ind w:firstLine="413" w:firstLineChars="196"/>
        <w:rPr>
          <w:rFonts w:cs="宋体"/>
        </w:rPr>
      </w:pPr>
      <w:r>
        <w:rPr>
          <w:rFonts w:hint="eastAsia" w:cs="宋体"/>
        </w:rPr>
        <w:t>五、</w:t>
      </w:r>
      <w:bookmarkEnd w:id="72"/>
      <w:r>
        <w:rPr>
          <w:rFonts w:hint="eastAsia" w:cs="宋体"/>
        </w:rPr>
        <w:t>磋商</w:t>
      </w:r>
      <w:bookmarkEnd w:id="73"/>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21.1、磋商由采购单位代表主持，主持人按下列程序进行：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pStyle w:val="31"/>
        <w:spacing w:line="480" w:lineRule="exact"/>
        <w:ind w:left="420" w:leftChars="200"/>
        <w:rPr>
          <w:rFonts w:hAnsi="宋体"/>
        </w:rPr>
      </w:pPr>
      <w:r>
        <w:rPr>
          <w:rFonts w:hint="eastAsia" w:hAnsi="宋体" w:cs="宋体"/>
          <w:color w:val="000000"/>
        </w:rPr>
        <w:t>21.1.2、</w:t>
      </w:r>
      <w:r>
        <w:rPr>
          <w:rFonts w:hint="eastAsia" w:hAnsi="宋体"/>
        </w:rPr>
        <w:t>宣布磋商纪律；</w:t>
      </w:r>
    </w:p>
    <w:p>
      <w:pPr>
        <w:pStyle w:val="31"/>
        <w:spacing w:line="480" w:lineRule="exact"/>
        <w:ind w:left="420" w:leftChars="200"/>
        <w:rPr>
          <w:rFonts w:hAnsi="宋体"/>
        </w:rPr>
      </w:pPr>
      <w:r>
        <w:rPr>
          <w:rFonts w:hAnsi="宋体"/>
        </w:rPr>
        <w:t>21.1.</w:t>
      </w:r>
      <w:r>
        <w:rPr>
          <w:rFonts w:hint="eastAsia" w:hAnsi="宋体"/>
        </w:rPr>
        <w:t>3、</w:t>
      </w:r>
      <w:r>
        <w:rPr>
          <w:rFonts w:hint="eastAsia" w:hAnsi="宋体" w:cs="宋体"/>
        </w:rPr>
        <w:t>现场开启响应文件</w:t>
      </w:r>
      <w:r>
        <w:rPr>
          <w:rFonts w:hint="eastAsia" w:hAnsi="宋体"/>
        </w:rPr>
        <w:t>；</w:t>
      </w:r>
    </w:p>
    <w:p>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lang w:val="en-US" w:eastAsia="zh-CN"/>
        </w:rPr>
        <w:t>4</w:t>
      </w:r>
      <w:r>
        <w:rPr>
          <w:rFonts w:hint="eastAsia" w:ascii="宋体" w:hAnsi="宋体" w:cs="Courier New"/>
          <w:szCs w:val="21"/>
        </w:rPr>
        <w:t>、采购人代表、记录人等有关人员在开标记录表上签字确认</w:t>
      </w:r>
      <w:r>
        <w:rPr>
          <w:rFonts w:hint="eastAsia" w:ascii="宋体" w:hAnsi="宋体" w:cs="宋体"/>
          <w:szCs w:val="21"/>
        </w:rPr>
        <w:t>；</w:t>
      </w:r>
    </w:p>
    <w:p>
      <w:pPr>
        <w:pStyle w:val="31"/>
        <w:spacing w:line="480" w:lineRule="exact"/>
        <w:ind w:left="420" w:leftChars="200"/>
        <w:rPr>
          <w:rFonts w:hAnsi="宋体"/>
        </w:rPr>
      </w:pPr>
      <w:r>
        <w:rPr>
          <w:rFonts w:hint="eastAsia" w:hAnsi="宋体" w:cs="宋体"/>
          <w:color w:val="000000"/>
        </w:rPr>
        <w:t>21.1.</w:t>
      </w:r>
      <w:r>
        <w:rPr>
          <w:rFonts w:hint="eastAsia" w:hAnsi="宋体" w:cs="宋体"/>
          <w:color w:val="000000"/>
          <w:lang w:val="en-US" w:eastAsia="zh-CN"/>
        </w:rPr>
        <w:t>5</w:t>
      </w:r>
      <w:r>
        <w:rPr>
          <w:rFonts w:hint="eastAsia" w:hAnsi="宋体" w:cs="宋体"/>
          <w:color w:val="000000"/>
        </w:rPr>
        <w:t>、</w:t>
      </w:r>
      <w:r>
        <w:rPr>
          <w:rFonts w:hint="eastAsia" w:hAnsi="宋体"/>
        </w:rPr>
        <w:t>暂时休会，进入评审阶段</w:t>
      </w:r>
      <w:r>
        <w:rPr>
          <w:rFonts w:hint="eastAsia" w:hAnsi="宋体" w:cs="宋体"/>
          <w:color w:val="000000"/>
        </w:rPr>
        <w:t>；</w:t>
      </w:r>
      <w:r>
        <w:rPr>
          <w:rFonts w:hint="eastAsia" w:hAnsi="宋体" w:cs="宋体"/>
          <w:color w:val="000000"/>
        </w:rPr>
        <w:cr/>
      </w:r>
      <w:r>
        <w:rPr>
          <w:rFonts w:hAnsi="宋体"/>
        </w:rPr>
        <w:t>21.1.</w:t>
      </w:r>
      <w:r>
        <w:rPr>
          <w:rFonts w:hint="eastAsia" w:hAnsi="宋体"/>
          <w:lang w:val="en-US" w:eastAsia="zh-CN"/>
        </w:rPr>
        <w:t>6</w:t>
      </w:r>
      <w:r>
        <w:rPr>
          <w:rFonts w:hint="eastAsia" w:hAnsi="宋体"/>
        </w:rPr>
        <w:t>、磋商小组对响应文件进行详细评审；</w:t>
      </w:r>
    </w:p>
    <w:p>
      <w:pPr>
        <w:pStyle w:val="31"/>
        <w:spacing w:line="480" w:lineRule="exact"/>
        <w:ind w:left="420" w:leftChars="200"/>
        <w:rPr>
          <w:rFonts w:hAnsi="宋体"/>
        </w:rPr>
      </w:pPr>
      <w:r>
        <w:rPr>
          <w:rFonts w:hAnsi="宋体"/>
        </w:rPr>
        <w:t>21.1.</w:t>
      </w:r>
      <w:r>
        <w:rPr>
          <w:rFonts w:hint="eastAsia" w:hAnsi="宋体"/>
          <w:lang w:val="en-US" w:eastAsia="zh-CN"/>
        </w:rPr>
        <w:t>7</w:t>
      </w:r>
      <w:r>
        <w:rPr>
          <w:rFonts w:hint="eastAsia" w:hAnsi="宋体"/>
        </w:rPr>
        <w:t>、磋商小组集中与各供应商分别进行磋商；</w:t>
      </w:r>
    </w:p>
    <w:p>
      <w:pPr>
        <w:pStyle w:val="31"/>
        <w:spacing w:line="480" w:lineRule="exact"/>
        <w:ind w:left="420" w:leftChars="200"/>
        <w:rPr>
          <w:rFonts w:hAnsi="宋体"/>
        </w:rPr>
      </w:pPr>
      <w:r>
        <w:rPr>
          <w:rFonts w:hAnsi="宋体"/>
        </w:rPr>
        <w:t>21.1.</w:t>
      </w:r>
      <w:r>
        <w:rPr>
          <w:rFonts w:hint="eastAsia" w:hAnsi="宋体"/>
          <w:lang w:val="en-US" w:eastAsia="zh-CN"/>
        </w:rPr>
        <w:t>8</w:t>
      </w:r>
      <w:r>
        <w:rPr>
          <w:rFonts w:hint="eastAsia" w:hAnsi="宋体"/>
        </w:rPr>
        <w:t>、实质性响应磋商文件的供应商进行最后报价；</w:t>
      </w:r>
    </w:p>
    <w:p>
      <w:pPr>
        <w:pStyle w:val="31"/>
        <w:spacing w:line="480" w:lineRule="exact"/>
        <w:ind w:left="420" w:leftChars="200"/>
        <w:rPr>
          <w:rFonts w:hAnsi="宋体"/>
        </w:rPr>
      </w:pPr>
      <w:r>
        <w:rPr>
          <w:rFonts w:hAnsi="宋体"/>
        </w:rPr>
        <w:t>21.1.</w:t>
      </w:r>
      <w:r>
        <w:rPr>
          <w:rFonts w:hint="eastAsia" w:hAnsi="宋体"/>
          <w:lang w:val="en-US" w:eastAsia="zh-CN"/>
        </w:rPr>
        <w:t>9</w:t>
      </w:r>
      <w:r>
        <w:rPr>
          <w:rFonts w:hint="eastAsia" w:hAnsi="宋体"/>
        </w:rPr>
        <w:t>、磋商小组进行综合评分并编写评审报告；</w:t>
      </w:r>
    </w:p>
    <w:p>
      <w:pPr>
        <w:pStyle w:val="31"/>
        <w:spacing w:line="480" w:lineRule="exact"/>
        <w:ind w:left="420" w:leftChars="200"/>
        <w:rPr>
          <w:rFonts w:hAnsi="宋体"/>
        </w:rPr>
      </w:pPr>
      <w:r>
        <w:rPr>
          <w:rFonts w:hAnsi="宋体"/>
        </w:rPr>
        <w:t>21.1.1</w:t>
      </w:r>
      <w:r>
        <w:rPr>
          <w:rFonts w:hint="eastAsia" w:hAnsi="宋体"/>
          <w:lang w:val="en-US" w:eastAsia="zh-CN"/>
        </w:rPr>
        <w:t>0</w:t>
      </w:r>
      <w:r>
        <w:rPr>
          <w:rFonts w:hint="eastAsia" w:hAnsi="宋体"/>
        </w:rPr>
        <w:t>、复会，宣布评审结果；</w:t>
      </w:r>
    </w:p>
    <w:p>
      <w:pPr>
        <w:pStyle w:val="31"/>
        <w:spacing w:line="480" w:lineRule="exact"/>
        <w:ind w:left="420" w:leftChars="200"/>
        <w:rPr>
          <w:rFonts w:hAnsi="宋体" w:cs="宋体"/>
          <w:b/>
        </w:rPr>
      </w:pPr>
      <w:r>
        <w:rPr>
          <w:rFonts w:hAnsi="宋体"/>
        </w:rPr>
        <w:t>21.1.1</w:t>
      </w:r>
      <w:r>
        <w:rPr>
          <w:rFonts w:hint="eastAsia" w:hAnsi="宋体"/>
          <w:lang w:val="en-US" w:eastAsia="zh-CN"/>
        </w:rPr>
        <w:t>1</w:t>
      </w:r>
      <w:r>
        <w:rPr>
          <w:rFonts w:hint="eastAsia" w:hAnsi="宋体"/>
        </w:rPr>
        <w:t>、磋商结束</w:t>
      </w:r>
    </w:p>
    <w:p>
      <w:pPr>
        <w:spacing w:line="360" w:lineRule="auto"/>
        <w:ind w:firstLine="420" w:firstLineChars="200"/>
        <w:rPr>
          <w:rFonts w:ascii="宋体" w:hAnsi="宋体" w:cs="宋体"/>
          <w:b/>
          <w:szCs w:val="21"/>
        </w:rPr>
      </w:pPr>
      <w:r>
        <w:rPr>
          <w:rFonts w:ascii="宋体" w:hAnsi="宋体" w:cs="宋体"/>
          <w:bCs/>
          <w:szCs w:val="21"/>
        </w:rPr>
        <w:t>21.2</w:t>
      </w:r>
      <w:r>
        <w:rPr>
          <w:rFonts w:hint="eastAsia" w:ascii="宋体" w:hAnsi="宋体" w:cs="宋体"/>
          <w:bCs/>
          <w:szCs w:val="21"/>
        </w:rPr>
        <w:t>.</w:t>
      </w:r>
      <w:r>
        <w:rPr>
          <w:rFonts w:ascii="宋体" w:hAnsi="宋体" w:cs="宋体"/>
          <w:bCs/>
          <w:szCs w:val="21"/>
        </w:rPr>
        <w:t>2</w:t>
      </w:r>
      <w:r>
        <w:rPr>
          <w:rFonts w:hint="eastAsia" w:ascii="宋体" w:hAnsi="宋体" w:cs="宋体"/>
          <w:bCs/>
          <w:szCs w:val="21"/>
        </w:rPr>
        <w:t>、供应商必须对其响应文件中所有资料的真实性负责。若发现供应商有弄虚作假行</w:t>
      </w:r>
      <w:r>
        <w:rPr>
          <w:rFonts w:hint="eastAsia" w:ascii="宋体" w:hAnsi="宋体" w:cs="宋体"/>
          <w:szCs w:val="21"/>
        </w:rPr>
        <w:t>为的，响应无效，由相关管理部门按照磋商文件相应条款对其做相应处罚。</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、响应文件有下列情形之一的，将不予受理：逾期</w:t>
      </w:r>
      <w:r>
        <w:rPr>
          <w:rFonts w:hint="eastAsia" w:ascii="宋体" w:hAnsi="宋体" w:cs="宋体"/>
          <w:szCs w:val="21"/>
          <w:lang w:val="en-US" w:eastAsia="zh-CN"/>
        </w:rPr>
        <w:t>提交响应文件</w:t>
      </w:r>
      <w:r>
        <w:rPr>
          <w:rFonts w:hint="eastAsia" w:ascii="宋体" w:hAnsi="宋体" w:cs="宋体"/>
          <w:szCs w:val="21"/>
        </w:rPr>
        <w:t>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rPr>
        <w:t>磋商响应文件封面、磋商响应函、</w:t>
      </w:r>
      <w:r>
        <w:rPr>
          <w:rFonts w:hint="eastAsia" w:ascii="宋体" w:hAnsi="宋体"/>
          <w:szCs w:val="21"/>
        </w:rPr>
        <w:t>货物报价表、技术参数响应表</w:t>
      </w:r>
      <w:r>
        <w:rPr>
          <w:rFonts w:hint="eastAsia" w:ascii="宋体" w:hAnsi="宋体" w:cs="宋体"/>
          <w:szCs w:val="21"/>
        </w:rPr>
        <w:t>不符合磋商文件要求的；</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4"/>
        <w:ind w:firstLine="413" w:firstLineChars="196"/>
        <w:rPr>
          <w:rFonts w:cs="宋体"/>
        </w:rPr>
      </w:pPr>
      <w:bookmarkStart w:id="74" w:name="_Toc476584426"/>
      <w:bookmarkStart w:id="75" w:name="_Toc54941337"/>
      <w:r>
        <w:rPr>
          <w:rFonts w:hint="eastAsia" w:cs="宋体"/>
        </w:rPr>
        <w:t>六、评标</w:t>
      </w:r>
      <w:bookmarkEnd w:id="74"/>
      <w:bookmarkEnd w:id="75"/>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w:t>
            </w:r>
          </w:p>
        </w:tc>
        <w:tc>
          <w:tcPr>
            <w:tcW w:w="6282" w:type="dxa"/>
          </w:tcPr>
          <w:p>
            <w:pPr>
              <w:spacing w:line="360" w:lineRule="auto"/>
              <w:rPr>
                <w:rFonts w:ascii="宋体" w:hAnsi="宋体"/>
                <w:strike/>
                <w:szCs w:val="21"/>
              </w:rPr>
            </w:pPr>
            <w:r>
              <w:rPr>
                <w:rFonts w:hint="eastAsia" w:ascii="宋体" w:hAnsi="宋体"/>
                <w:szCs w:val="21"/>
              </w:rPr>
              <w:t>营业执照、税务登记证是否合法有效（已办理“三证合一”登记的，只需提供营业执照扫描件或事业单位法人登记证书扫描件）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磋商文件要求提交的证明文件是否合法、有效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hint="eastAsia" w:ascii="宋体" w:eastAsia="宋体"/>
                <w:szCs w:val="21"/>
                <w:lang w:val="en-US" w:eastAsia="zh-CN"/>
              </w:rPr>
            </w:pPr>
            <w:r>
              <w:rPr>
                <w:rFonts w:hint="eastAsia" w:ascii="宋体"/>
                <w:szCs w:val="21"/>
                <w:lang w:val="en-US" w:eastAsia="zh-CN"/>
              </w:rPr>
              <w:t>5</w:t>
            </w:r>
          </w:p>
        </w:tc>
        <w:tc>
          <w:tcPr>
            <w:tcW w:w="6282" w:type="dxa"/>
          </w:tcPr>
          <w:p>
            <w:pPr>
              <w:spacing w:line="360" w:lineRule="auto"/>
              <w:rPr>
                <w:rFonts w:ascii="宋体"/>
                <w:szCs w:val="21"/>
              </w:rPr>
            </w:pPr>
            <w:r>
              <w:rPr>
                <w:rFonts w:hint="eastAsia" w:ascii="宋体" w:hAnsi="宋体"/>
                <w:szCs w:val="21"/>
              </w:rPr>
              <w:t>所提供的货物是否有缺少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val="en-US" w:eastAsia="zh-CN"/>
              </w:rPr>
            </w:pPr>
            <w:r>
              <w:rPr>
                <w:rFonts w:hint="eastAsia" w:ascii="宋体"/>
                <w:szCs w:val="21"/>
                <w:lang w:val="en-US" w:eastAsia="zh-CN"/>
              </w:rPr>
              <w:t>6</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val="en-US" w:eastAsia="zh-CN"/>
              </w:rPr>
            </w:pPr>
            <w:r>
              <w:rPr>
                <w:rFonts w:hint="eastAsia" w:ascii="宋体"/>
                <w:szCs w:val="21"/>
                <w:lang w:val="en-US" w:eastAsia="zh-CN"/>
              </w:rPr>
              <w:t>7</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8</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val="en-US" w:eastAsia="zh-CN"/>
              </w:rPr>
            </w:pPr>
            <w:r>
              <w:rPr>
                <w:rFonts w:hint="eastAsia" w:ascii="宋体"/>
                <w:szCs w:val="21"/>
                <w:lang w:val="en-US" w:eastAsia="zh-CN"/>
              </w:rPr>
              <w:t>9</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val="en-US" w:eastAsia="zh-CN"/>
              </w:rPr>
            </w:pPr>
            <w:r>
              <w:rPr>
                <w:rFonts w:hint="eastAsia" w:ascii="宋体"/>
                <w:szCs w:val="21"/>
              </w:rPr>
              <w:t>1</w:t>
            </w:r>
            <w:r>
              <w:rPr>
                <w:rFonts w:hint="eastAsia" w:ascii="宋体"/>
                <w:szCs w:val="21"/>
                <w:lang w:val="en-US" w:eastAsia="zh-CN"/>
              </w:rPr>
              <w:t>0</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360" w:lineRule="auto"/>
        <w:ind w:firstLine="405"/>
        <w:jc w:val="left"/>
        <w:rPr>
          <w:rFonts w:ascii="宋体" w:hAnsi="宋体"/>
          <w:b/>
          <w:szCs w:val="21"/>
        </w:rPr>
      </w:pPr>
      <w:r>
        <w:rPr>
          <w:rFonts w:hint="eastAsia" w:ascii="宋体" w:hAnsi="宋体" w:cs="宋体"/>
          <w:b/>
          <w:szCs w:val="21"/>
        </w:rPr>
        <w:t>备注</w:t>
      </w:r>
      <w:r>
        <w:rPr>
          <w:rFonts w:hint="eastAsia" w:ascii="宋体" w:cs="宋体"/>
          <w:b/>
          <w:szCs w:val="21"/>
        </w:rPr>
        <w:t>：</w:t>
      </w:r>
      <w:r>
        <w:rPr>
          <w:rFonts w:hint="eastAsia" w:ascii="宋体" w:hAnsi="宋体"/>
          <w:b/>
          <w:szCs w:val="21"/>
        </w:rPr>
        <w:t>磋商文件要求（评分细则要求的除外）在响应文件中提供复印件或影印件或扫描件的，若在响应文件中未提供响应复印件或影印件或扫描件，由成交人在签订合同前提交给采购人，否则视为成交人自动放弃成交资格。</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firstLine="630" w:firstLineChars="3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供应商应当按照磋商文件的变动情况和磋商小组的要求重新提交响应文件，并由其法定代表人或授权代表签字或者加盖公章。由授权代表签字的，应当附授权书。</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p>
    <w:p>
      <w:pPr>
        <w:adjustRightInd w:val="0"/>
        <w:spacing w:line="480" w:lineRule="exact"/>
        <w:ind w:firstLine="420" w:firstLineChars="200"/>
        <w:textAlignment w:val="baseline"/>
        <w:rPr>
          <w:rFonts w:hint="eastAsia" w:ascii="宋体" w:hAnsi="宋体"/>
          <w:b/>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若经磋商后需更改响应文件报价部分的，允许供应商作最后修改，修改结果是供应商响应文件的有效组成部分。最后修改必须由其法定代表人（或负责人）或授权代表签字或者加盖公章。</w:t>
      </w:r>
      <w:r>
        <w:rPr>
          <w:rFonts w:hint="eastAsia" w:ascii="宋体" w:hAnsi="宋体"/>
          <w:b/>
          <w:bCs/>
          <w:szCs w:val="21"/>
          <w:lang w:val="en-US" w:eastAsia="zh-CN"/>
        </w:rPr>
        <w:t>磋商</w:t>
      </w:r>
      <w:r>
        <w:rPr>
          <w:rFonts w:hint="eastAsia" w:ascii="宋体" w:hAnsi="宋体" w:cs="宋体"/>
          <w:b/>
          <w:bCs/>
          <w:color w:val="auto"/>
          <w:szCs w:val="21"/>
          <w:highlight w:val="none"/>
        </w:rPr>
        <w:t>响应</w:t>
      </w:r>
      <w:r>
        <w:rPr>
          <w:rFonts w:hint="eastAsia" w:ascii="宋体" w:hAnsi="宋体" w:cs="宋体"/>
          <w:b/>
          <w:color w:val="auto"/>
          <w:szCs w:val="21"/>
          <w:highlight w:val="none"/>
        </w:rPr>
        <w:t>人</w:t>
      </w:r>
      <w:r>
        <w:rPr>
          <w:rFonts w:hint="eastAsia" w:ascii="宋体" w:hAnsi="宋体" w:cs="宋体"/>
          <w:b/>
          <w:color w:val="auto"/>
          <w:szCs w:val="21"/>
          <w:highlight w:val="none"/>
          <w:lang w:val="en-US" w:eastAsia="zh-CN"/>
        </w:rPr>
        <w:t>将</w:t>
      </w:r>
      <w:r>
        <w:rPr>
          <w:rFonts w:hint="eastAsia" w:ascii="宋体" w:hAnsi="宋体" w:cs="宋体"/>
          <w:b/>
          <w:color w:val="auto"/>
          <w:szCs w:val="21"/>
          <w:highlight w:val="none"/>
        </w:rPr>
        <w:t>最终报价表制作完成并加盖</w:t>
      </w:r>
      <w:r>
        <w:rPr>
          <w:rFonts w:hint="eastAsia" w:ascii="宋体" w:hAnsi="宋体" w:cs="宋体"/>
          <w:b/>
          <w:color w:val="auto"/>
          <w:szCs w:val="21"/>
          <w:highlight w:val="none"/>
          <w:lang w:val="en-US" w:eastAsia="zh-CN"/>
        </w:rPr>
        <w:t>磋商</w:t>
      </w:r>
      <w:r>
        <w:rPr>
          <w:rFonts w:hint="eastAsia" w:ascii="宋体" w:hAnsi="宋体" w:cs="宋体"/>
          <w:b/>
          <w:color w:val="auto"/>
          <w:szCs w:val="21"/>
          <w:highlight w:val="none"/>
        </w:rPr>
        <w:t>响应人公章（PDF等不可编辑的电子文件）后应对最终报价表进行文档加密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磋商</w:t>
      </w:r>
      <w:r>
        <w:rPr>
          <w:rFonts w:hint="eastAsia" w:ascii="宋体" w:hAnsi="宋体" w:cs="宋体"/>
          <w:b/>
          <w:color w:val="auto"/>
          <w:szCs w:val="21"/>
          <w:highlight w:val="none"/>
          <w:lang w:eastAsia="zh-CN"/>
        </w:rPr>
        <w:t>响应人将加密最终报价表电子档发至</w:t>
      </w:r>
      <w:r>
        <w:rPr>
          <w:rFonts w:hint="eastAsia" w:ascii="宋体" w:hAnsi="宋体" w:cs="宋体"/>
          <w:b/>
          <w:color w:val="auto"/>
          <w:szCs w:val="21"/>
          <w:highlight w:val="none"/>
          <w:lang w:val="en-US" w:eastAsia="zh-CN"/>
        </w:rPr>
        <w:t>504476178</w:t>
      </w:r>
      <w:r>
        <w:rPr>
          <w:rFonts w:hint="eastAsia" w:ascii="宋体" w:hAnsi="宋体" w:cs="宋体"/>
          <w:b/>
          <w:color w:val="auto"/>
          <w:szCs w:val="21"/>
          <w:highlight w:val="none"/>
          <w:lang w:eastAsia="zh-CN"/>
        </w:rPr>
        <w:t>@qq.com邮箱。开启时工作人员通过电话向各响应人获取密码解密。</w:t>
      </w:r>
    </w:p>
    <w:p>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tbl>
      <w:tblPr>
        <w:tblStyle w:val="60"/>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06"/>
        <w:gridCol w:w="700"/>
        <w:gridCol w:w="608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8" w:type="dxa"/>
            <w:vAlign w:val="center"/>
          </w:tcPr>
          <w:p>
            <w:pPr>
              <w:spacing w:line="360" w:lineRule="auto"/>
              <w:rPr>
                <w:rFonts w:ascii="宋体" w:hAnsi="宋体" w:cs="宋体"/>
                <w:b/>
                <w:bCs/>
                <w:snapToGrid w:val="0"/>
                <w:szCs w:val="21"/>
              </w:rPr>
            </w:pPr>
            <w:r>
              <w:rPr>
                <w:rFonts w:hint="eastAsia" w:ascii="宋体" w:hAnsi="宋体" w:cs="宋体"/>
                <w:b/>
                <w:bCs/>
                <w:snapToGrid w:val="0"/>
                <w:szCs w:val="21"/>
              </w:rPr>
              <w:t>序号</w:t>
            </w:r>
          </w:p>
        </w:tc>
        <w:tc>
          <w:tcPr>
            <w:tcW w:w="706" w:type="dxa"/>
            <w:vAlign w:val="center"/>
          </w:tcPr>
          <w:p>
            <w:pPr>
              <w:spacing w:line="360" w:lineRule="auto"/>
              <w:rPr>
                <w:rFonts w:ascii="宋体" w:hAnsi="宋体" w:cs="宋体"/>
                <w:b/>
                <w:bCs/>
                <w:snapToGrid w:val="0"/>
                <w:szCs w:val="21"/>
              </w:rPr>
            </w:pPr>
            <w:r>
              <w:rPr>
                <w:rFonts w:hint="eastAsia" w:ascii="宋体" w:hAnsi="宋体" w:cs="宋体"/>
                <w:b/>
                <w:bCs/>
                <w:snapToGrid w:val="0"/>
                <w:szCs w:val="21"/>
              </w:rPr>
              <w:t>评分因素</w:t>
            </w:r>
          </w:p>
        </w:tc>
        <w:tc>
          <w:tcPr>
            <w:tcW w:w="700" w:type="dxa"/>
            <w:vAlign w:val="center"/>
          </w:tcPr>
          <w:p>
            <w:pPr>
              <w:spacing w:line="360" w:lineRule="auto"/>
              <w:rPr>
                <w:rFonts w:ascii="宋体" w:hAnsi="宋体" w:cs="宋体"/>
                <w:b/>
                <w:bCs/>
                <w:snapToGrid w:val="0"/>
                <w:szCs w:val="21"/>
              </w:rPr>
            </w:pPr>
            <w:r>
              <w:rPr>
                <w:rFonts w:hint="eastAsia" w:ascii="宋体" w:hAnsi="宋体" w:cs="宋体"/>
                <w:b/>
                <w:bCs/>
                <w:snapToGrid w:val="0"/>
                <w:szCs w:val="21"/>
              </w:rPr>
              <w:t>分值</w:t>
            </w:r>
          </w:p>
        </w:tc>
        <w:tc>
          <w:tcPr>
            <w:tcW w:w="6085" w:type="dxa"/>
            <w:vAlign w:val="center"/>
          </w:tcPr>
          <w:p>
            <w:pPr>
              <w:spacing w:line="360" w:lineRule="auto"/>
              <w:jc w:val="center"/>
              <w:rPr>
                <w:rFonts w:ascii="宋体" w:hAnsi="宋体" w:cs="宋体"/>
                <w:b/>
                <w:bCs/>
                <w:snapToGrid w:val="0"/>
                <w:szCs w:val="21"/>
              </w:rPr>
            </w:pPr>
            <w:r>
              <w:rPr>
                <w:rFonts w:hint="eastAsia" w:ascii="宋体" w:hAnsi="宋体" w:cs="宋体"/>
                <w:b/>
                <w:bCs/>
                <w:snapToGrid w:val="0"/>
                <w:szCs w:val="21"/>
              </w:rPr>
              <w:t>具体内容及评分标准</w:t>
            </w:r>
          </w:p>
        </w:tc>
        <w:tc>
          <w:tcPr>
            <w:tcW w:w="837" w:type="dxa"/>
            <w:vAlign w:val="center"/>
          </w:tcPr>
          <w:p>
            <w:pPr>
              <w:spacing w:line="360" w:lineRule="auto"/>
              <w:rPr>
                <w:rFonts w:ascii="宋体" w:hAnsi="宋体" w:cs="宋体"/>
                <w:b/>
                <w:bCs/>
                <w:snapToGrid w:val="0"/>
                <w:szCs w:val="21"/>
              </w:rPr>
            </w:pPr>
            <w:r>
              <w:rPr>
                <w:rFonts w:hint="eastAsia" w:ascii="宋体" w:hAnsi="宋体" w:cs="宋体"/>
                <w:b/>
                <w:bCs/>
                <w:snapToGrid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exact"/>
        </w:trPr>
        <w:tc>
          <w:tcPr>
            <w:tcW w:w="468" w:type="dxa"/>
            <w:vAlign w:val="center"/>
          </w:tcPr>
          <w:p>
            <w:pPr>
              <w:spacing w:line="360" w:lineRule="auto"/>
              <w:rPr>
                <w:rFonts w:ascii="宋体" w:hAnsi="宋体" w:cs="宋体"/>
                <w:bCs/>
                <w:snapToGrid w:val="0"/>
                <w:szCs w:val="21"/>
              </w:rPr>
            </w:pPr>
            <w:r>
              <w:rPr>
                <w:rFonts w:hint="eastAsia" w:ascii="宋体" w:hAnsi="宋体" w:cs="宋体"/>
                <w:bCs/>
                <w:snapToGrid w:val="0"/>
                <w:szCs w:val="21"/>
              </w:rPr>
              <w:t>1</w:t>
            </w:r>
          </w:p>
        </w:tc>
        <w:tc>
          <w:tcPr>
            <w:tcW w:w="706" w:type="dxa"/>
          </w:tcPr>
          <w:p>
            <w:pPr>
              <w:spacing w:line="340" w:lineRule="exact"/>
              <w:ind w:left="112" w:firstLine="2"/>
              <w:jc w:val="left"/>
              <w:rPr>
                <w:rFonts w:ascii="宋体" w:hAnsi="宋体" w:cs="宋体"/>
                <w:spacing w:val="9"/>
                <w:sz w:val="22"/>
                <w:szCs w:val="22"/>
              </w:rPr>
            </w:pPr>
          </w:p>
          <w:p>
            <w:pPr>
              <w:spacing w:line="340" w:lineRule="exact"/>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bCs/>
                <w:snapToGrid w:val="0"/>
                <w:szCs w:val="21"/>
              </w:rPr>
            </w:pPr>
            <w:r>
              <w:rPr>
                <w:rFonts w:ascii="宋体" w:hAnsi="宋体" w:cs="宋体"/>
                <w:spacing w:val="9"/>
                <w:sz w:val="22"/>
                <w:szCs w:val="22"/>
              </w:rPr>
              <w:t>业绩</w:t>
            </w:r>
          </w:p>
        </w:tc>
        <w:tc>
          <w:tcPr>
            <w:tcW w:w="700" w:type="dxa"/>
          </w:tcPr>
          <w:p>
            <w:pPr>
              <w:spacing w:line="340" w:lineRule="exact"/>
              <w:ind w:left="112" w:firstLine="2"/>
              <w:jc w:val="left"/>
              <w:rPr>
                <w:rFonts w:ascii="宋体" w:hAnsi="宋体" w:cs="宋体"/>
                <w:spacing w:val="9"/>
                <w:sz w:val="22"/>
                <w:szCs w:val="22"/>
              </w:rPr>
            </w:pPr>
          </w:p>
          <w:p>
            <w:pPr>
              <w:spacing w:line="340" w:lineRule="exact"/>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bCs/>
                <w:snapToGrid w:val="0"/>
                <w:szCs w:val="21"/>
              </w:rPr>
            </w:pPr>
            <w:r>
              <w:rPr>
                <w:rFonts w:hint="eastAsia" w:ascii="宋体" w:hAnsi="宋体" w:cs="宋体"/>
                <w:spacing w:val="9"/>
                <w:sz w:val="22"/>
                <w:szCs w:val="22"/>
              </w:rPr>
              <w:t>4</w:t>
            </w:r>
          </w:p>
        </w:tc>
        <w:tc>
          <w:tcPr>
            <w:tcW w:w="6085" w:type="dxa"/>
          </w:tcPr>
          <w:p>
            <w:pPr>
              <w:spacing w:line="360" w:lineRule="auto"/>
              <w:rPr>
                <w:rFonts w:ascii="宋体" w:hAnsi="宋体" w:cs="宋体"/>
                <w:bCs/>
                <w:snapToGrid w:val="0"/>
                <w:szCs w:val="21"/>
              </w:rPr>
            </w:pPr>
            <w:r>
              <w:rPr>
                <w:rFonts w:hint="eastAsia" w:ascii="宋体" w:hAnsi="宋体" w:cs="宋体"/>
                <w:bCs/>
                <w:snapToGrid w:val="0"/>
                <w:szCs w:val="21"/>
              </w:rPr>
              <w:t>供应商自2019年1月1日（以合同签订时间为准）以来具有       行政机关、企事业单位信息化项目建设业绩的，每一项业绩加2分，累计最高4分。</w:t>
            </w:r>
          </w:p>
          <w:p>
            <w:pPr>
              <w:spacing w:line="360" w:lineRule="auto"/>
              <w:rPr>
                <w:rFonts w:ascii="宋体" w:hAnsi="宋体" w:cs="宋体"/>
                <w:bCs/>
                <w:snapToGrid w:val="0"/>
                <w:szCs w:val="21"/>
              </w:rPr>
            </w:pPr>
            <w:r>
              <w:rPr>
                <w:rFonts w:hint="eastAsia" w:ascii="宋体" w:hAnsi="宋体" w:cs="宋体"/>
                <w:bCs/>
                <w:snapToGrid w:val="0"/>
                <w:szCs w:val="21"/>
              </w:rPr>
              <w:t>1.提供合同复印件或扫描件或影印件并加盖供应商公章。</w:t>
            </w:r>
          </w:p>
          <w:p>
            <w:pPr>
              <w:spacing w:line="360" w:lineRule="auto"/>
              <w:rPr>
                <w:rFonts w:ascii="宋体" w:hAnsi="宋体" w:cs="宋体"/>
                <w:bCs/>
                <w:snapToGrid w:val="0"/>
                <w:szCs w:val="21"/>
              </w:rPr>
            </w:pPr>
            <w:r>
              <w:rPr>
                <w:rFonts w:hint="eastAsia" w:ascii="宋体" w:hAnsi="宋体" w:cs="宋体"/>
                <w:bCs/>
                <w:snapToGrid w:val="0"/>
                <w:szCs w:val="21"/>
              </w:rPr>
              <w:t>提供由合同甲方（采购人）出具的合同履约完成的证明材料，需加盖合同甲方（采购人）公章。上述材料须同时具备，缺少任一材料则该业绩不得分。）</w:t>
            </w:r>
          </w:p>
        </w:tc>
        <w:tc>
          <w:tcPr>
            <w:tcW w:w="837" w:type="dxa"/>
          </w:tcPr>
          <w:p>
            <w:pPr>
              <w:spacing w:line="360" w:lineRule="auto"/>
              <w:ind w:firstLine="420"/>
              <w:rPr>
                <w:rFonts w:ascii="宋体" w:hAnsi="宋体" w:cs="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trPr>
        <w:tc>
          <w:tcPr>
            <w:tcW w:w="468" w:type="dxa"/>
            <w:vAlign w:val="center"/>
          </w:tcPr>
          <w:p>
            <w:pPr>
              <w:spacing w:line="360" w:lineRule="exact"/>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706" w:type="dxa"/>
          </w:tcPr>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jc w:val="left"/>
              <w:rPr>
                <w:rFonts w:ascii="宋体" w:hAnsi="宋体" w:cs="宋体"/>
                <w:bCs/>
                <w:szCs w:val="21"/>
              </w:rPr>
            </w:pPr>
            <w:r>
              <w:rPr>
                <w:rFonts w:ascii="宋体" w:hAnsi="宋体" w:cs="宋体"/>
                <w:spacing w:val="9"/>
                <w:sz w:val="22"/>
                <w:szCs w:val="22"/>
              </w:rPr>
              <w:t>技术 参数 响应</w:t>
            </w:r>
          </w:p>
        </w:tc>
        <w:tc>
          <w:tcPr>
            <w:tcW w:w="700" w:type="dxa"/>
          </w:tcPr>
          <w:p>
            <w:pPr>
              <w:spacing w:line="340" w:lineRule="exact"/>
              <w:ind w:left="112" w:firstLine="2"/>
              <w:jc w:val="center"/>
              <w:rPr>
                <w:rFonts w:ascii="宋体" w:hAnsi="宋体" w:cs="宋体"/>
                <w:color w:val="FF0000"/>
                <w:spacing w:val="9"/>
                <w:sz w:val="22"/>
                <w:szCs w:val="22"/>
              </w:rPr>
            </w:pPr>
          </w:p>
          <w:p>
            <w:pPr>
              <w:spacing w:line="340" w:lineRule="exact"/>
              <w:ind w:left="112" w:firstLine="2"/>
              <w:jc w:val="center"/>
              <w:rPr>
                <w:rFonts w:ascii="宋体" w:hAnsi="宋体" w:cs="宋体"/>
                <w:color w:val="FF0000"/>
                <w:spacing w:val="9"/>
                <w:sz w:val="22"/>
                <w:szCs w:val="22"/>
              </w:rPr>
            </w:pPr>
          </w:p>
          <w:p>
            <w:pPr>
              <w:spacing w:line="340" w:lineRule="exact"/>
              <w:ind w:left="112" w:firstLine="2"/>
              <w:jc w:val="center"/>
              <w:rPr>
                <w:rFonts w:ascii="宋体" w:hAnsi="宋体" w:cs="宋体"/>
                <w:color w:val="FF0000"/>
                <w:spacing w:val="9"/>
                <w:sz w:val="22"/>
                <w:szCs w:val="22"/>
              </w:rPr>
            </w:pPr>
          </w:p>
          <w:p>
            <w:pPr>
              <w:spacing w:line="340" w:lineRule="exact"/>
              <w:ind w:left="112" w:firstLine="2"/>
              <w:jc w:val="center"/>
              <w:rPr>
                <w:rFonts w:ascii="宋体" w:hAnsi="宋体" w:cs="宋体"/>
                <w:color w:val="FF0000"/>
                <w:spacing w:val="9"/>
                <w:sz w:val="22"/>
                <w:szCs w:val="22"/>
              </w:rPr>
            </w:pPr>
          </w:p>
          <w:p>
            <w:pPr>
              <w:spacing w:line="340" w:lineRule="exact"/>
              <w:jc w:val="center"/>
              <w:rPr>
                <w:rFonts w:ascii="宋体" w:hAnsi="宋体" w:cs="宋体"/>
                <w:color w:val="FF0000"/>
                <w:szCs w:val="21"/>
              </w:rPr>
            </w:pPr>
            <w:r>
              <w:rPr>
                <w:rFonts w:hint="eastAsia" w:ascii="宋体" w:hAnsi="宋体" w:cs="宋体"/>
                <w:color w:val="auto"/>
                <w:spacing w:val="9"/>
                <w:sz w:val="22"/>
                <w:szCs w:val="22"/>
              </w:rPr>
              <w:t>1</w:t>
            </w:r>
            <w:r>
              <w:rPr>
                <w:rFonts w:ascii="宋体" w:hAnsi="宋体" w:cs="宋体"/>
                <w:color w:val="auto"/>
                <w:spacing w:val="9"/>
                <w:sz w:val="22"/>
                <w:szCs w:val="22"/>
              </w:rPr>
              <w:t>4</w:t>
            </w:r>
          </w:p>
        </w:tc>
        <w:tc>
          <w:tcPr>
            <w:tcW w:w="6085" w:type="dxa"/>
          </w:tcPr>
          <w:p>
            <w:pPr>
              <w:spacing w:line="360" w:lineRule="auto"/>
              <w:rPr>
                <w:rFonts w:ascii="宋体" w:hAnsi="宋体" w:cs="宋体"/>
                <w:bCs/>
                <w:snapToGrid w:val="0"/>
                <w:color w:val="auto"/>
                <w:szCs w:val="21"/>
              </w:rPr>
            </w:pPr>
            <w:r>
              <w:rPr>
                <w:rFonts w:hint="eastAsia"/>
                <w:color w:val="auto"/>
              </w:rPr>
              <w:t>所投产品全部技术参数及要求完全满足或优于磋商文件的，得</w:t>
            </w:r>
            <w:r>
              <w:rPr>
                <w:color w:val="auto"/>
              </w:rPr>
              <w:t>14</w:t>
            </w:r>
            <w:r>
              <w:rPr>
                <w:rFonts w:hint="eastAsia"/>
                <w:color w:val="auto"/>
              </w:rPr>
              <w:t>分；磋商文件“★”技术参数要求的，每负偏离一项，扣2分，非“★”技术参数要求的，扣1分，扣完为止。</w:t>
            </w:r>
            <w:r>
              <w:rPr>
                <w:rFonts w:hint="eastAsia"/>
                <w:color w:val="auto"/>
              </w:rPr>
              <w:br w:type="textWrapping"/>
            </w:r>
            <w:r>
              <w:rPr>
                <w:rFonts w:hint="eastAsia"/>
                <w:color w:val="auto"/>
              </w:rPr>
              <w:t>备注：响应文件中对标★项技术参数未提供相应证明材料的，或所供证明材料无法证明该参数响应情况的，则该项参数按负偏离扣分。未标★项技术参数以技术参数响应表中的响应技术参数内容为准。</w:t>
            </w:r>
          </w:p>
        </w:tc>
        <w:tc>
          <w:tcPr>
            <w:tcW w:w="837" w:type="dxa"/>
          </w:tcPr>
          <w:p>
            <w:pPr>
              <w:spacing w:line="360" w:lineRule="auto"/>
              <w:ind w:firstLine="420"/>
              <w:rPr>
                <w:rFonts w:ascii="宋体" w:hAnsi="宋体" w:cs="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exact"/>
        </w:trPr>
        <w:tc>
          <w:tcPr>
            <w:tcW w:w="468" w:type="dxa"/>
            <w:vAlign w:val="center"/>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706" w:type="dxa"/>
          </w:tcPr>
          <w:p>
            <w:pPr>
              <w:spacing w:line="340" w:lineRule="exact"/>
              <w:rPr>
                <w:sz w:val="22"/>
                <w:szCs w:val="22"/>
              </w:rPr>
            </w:pPr>
          </w:p>
          <w:p>
            <w:pPr>
              <w:spacing w:line="340" w:lineRule="exact"/>
              <w:rPr>
                <w:sz w:val="22"/>
                <w:szCs w:val="22"/>
              </w:rPr>
            </w:pPr>
          </w:p>
          <w:p>
            <w:pPr>
              <w:spacing w:before="65" w:line="340" w:lineRule="exact"/>
              <w:ind w:left="116" w:right="107" w:hanging="2"/>
              <w:jc w:val="left"/>
              <w:rPr>
                <w:rFonts w:ascii="宋体" w:hAnsi="宋体" w:cs="宋体"/>
                <w:spacing w:val="-7"/>
                <w:sz w:val="22"/>
                <w:szCs w:val="22"/>
              </w:rPr>
            </w:pPr>
          </w:p>
          <w:p>
            <w:pPr>
              <w:spacing w:before="65" w:line="340" w:lineRule="exact"/>
              <w:ind w:left="116" w:right="107" w:hanging="2"/>
              <w:jc w:val="left"/>
              <w:rPr>
                <w:rFonts w:ascii="宋体" w:hAnsi="宋体" w:cs="宋体"/>
                <w:spacing w:val="-7"/>
                <w:sz w:val="22"/>
                <w:szCs w:val="22"/>
              </w:rPr>
            </w:pPr>
          </w:p>
          <w:p>
            <w:pPr>
              <w:spacing w:before="65" w:line="340" w:lineRule="exact"/>
              <w:ind w:left="116" w:right="107" w:hanging="2"/>
              <w:jc w:val="left"/>
              <w:rPr>
                <w:rFonts w:ascii="宋体" w:hAnsi="宋体" w:cs="宋体"/>
                <w:spacing w:val="-7"/>
                <w:sz w:val="22"/>
                <w:szCs w:val="22"/>
              </w:rPr>
            </w:pPr>
          </w:p>
          <w:p>
            <w:pPr>
              <w:spacing w:before="65" w:line="340" w:lineRule="exact"/>
              <w:ind w:left="116" w:right="107" w:hanging="2"/>
              <w:jc w:val="left"/>
              <w:rPr>
                <w:rFonts w:ascii="宋体" w:hAnsi="宋体" w:cs="宋体"/>
                <w:szCs w:val="21"/>
              </w:rPr>
            </w:pPr>
            <w:r>
              <w:rPr>
                <w:rFonts w:hint="eastAsia" w:ascii="宋体" w:hAnsi="宋体" w:cs="宋体"/>
                <w:spacing w:val="-7"/>
                <w:sz w:val="22"/>
                <w:szCs w:val="22"/>
              </w:rPr>
              <w:t>综合实力</w:t>
            </w:r>
          </w:p>
        </w:tc>
        <w:tc>
          <w:tcPr>
            <w:tcW w:w="700" w:type="dxa"/>
          </w:tcPr>
          <w:p>
            <w:pPr>
              <w:spacing w:line="340" w:lineRule="exact"/>
              <w:rPr>
                <w:sz w:val="22"/>
                <w:szCs w:val="22"/>
              </w:rPr>
            </w:pPr>
          </w:p>
          <w:p>
            <w:pPr>
              <w:spacing w:line="340" w:lineRule="exact"/>
              <w:rPr>
                <w:sz w:val="22"/>
                <w:szCs w:val="22"/>
              </w:rPr>
            </w:pPr>
          </w:p>
          <w:p>
            <w:pPr>
              <w:spacing w:line="340" w:lineRule="exact"/>
              <w:rPr>
                <w:sz w:val="22"/>
                <w:szCs w:val="22"/>
              </w:rPr>
            </w:pPr>
          </w:p>
          <w:p>
            <w:pPr>
              <w:spacing w:before="65" w:line="340" w:lineRule="exact"/>
              <w:ind w:left="173"/>
              <w:rPr>
                <w:rFonts w:ascii="宋体" w:hAnsi="宋体" w:cs="宋体"/>
                <w:spacing w:val="-16"/>
                <w:sz w:val="22"/>
                <w:szCs w:val="22"/>
              </w:rPr>
            </w:pPr>
          </w:p>
          <w:p>
            <w:pPr>
              <w:spacing w:before="65" w:line="340" w:lineRule="exact"/>
              <w:ind w:left="173"/>
              <w:rPr>
                <w:rFonts w:ascii="宋体" w:hAnsi="宋体" w:cs="宋体"/>
                <w:spacing w:val="-16"/>
                <w:sz w:val="22"/>
                <w:szCs w:val="22"/>
              </w:rPr>
            </w:pPr>
          </w:p>
          <w:p>
            <w:pPr>
              <w:spacing w:before="65" w:line="340" w:lineRule="exact"/>
              <w:ind w:left="173"/>
              <w:rPr>
                <w:rFonts w:ascii="宋体" w:hAnsi="宋体" w:cs="宋体"/>
                <w:spacing w:val="-16"/>
                <w:sz w:val="22"/>
                <w:szCs w:val="22"/>
              </w:rPr>
            </w:pPr>
          </w:p>
          <w:p>
            <w:pPr>
              <w:spacing w:before="65" w:line="340" w:lineRule="exact"/>
              <w:ind w:left="173"/>
              <w:rPr>
                <w:rFonts w:ascii="宋体" w:hAnsi="宋体" w:cs="宋体"/>
                <w:szCs w:val="21"/>
              </w:rPr>
            </w:pPr>
            <w:r>
              <w:rPr>
                <w:rFonts w:hint="eastAsia" w:ascii="宋体" w:hAnsi="宋体" w:cs="宋体"/>
                <w:spacing w:val="-16"/>
                <w:sz w:val="22"/>
                <w:szCs w:val="22"/>
              </w:rPr>
              <w:t>12</w:t>
            </w:r>
          </w:p>
        </w:tc>
        <w:tc>
          <w:tcPr>
            <w:tcW w:w="6085" w:type="dxa"/>
          </w:tcPr>
          <w:p>
            <w:pPr>
              <w:spacing w:line="360" w:lineRule="auto"/>
              <w:rPr>
                <w:rFonts w:ascii="宋体" w:hAnsi="宋体" w:cs="宋体"/>
                <w:bCs/>
                <w:snapToGrid w:val="0"/>
                <w:szCs w:val="21"/>
              </w:rPr>
            </w:pPr>
            <w:r>
              <w:rPr>
                <w:rFonts w:hint="eastAsia" w:ascii="宋体" w:hAnsi="宋体" w:cs="宋体"/>
                <w:bCs/>
                <w:snapToGrid w:val="0"/>
                <w:szCs w:val="21"/>
              </w:rPr>
              <w:t>供应商满足以下条件，每有一项的2分，满分12分；</w:t>
            </w:r>
          </w:p>
          <w:p>
            <w:pPr>
              <w:spacing w:line="360" w:lineRule="auto"/>
              <w:rPr>
                <w:rFonts w:ascii="宋体" w:hAnsi="宋体" w:cs="宋体"/>
                <w:bCs/>
                <w:snapToGrid w:val="0"/>
                <w:szCs w:val="21"/>
              </w:rPr>
            </w:pPr>
            <w:r>
              <w:rPr>
                <w:rFonts w:hint="eastAsia" w:ascii="宋体" w:hAnsi="宋体" w:cs="宋体"/>
                <w:bCs/>
                <w:snapToGrid w:val="0"/>
                <w:szCs w:val="21"/>
              </w:rPr>
              <w:t>①质量管理体系认证；</w:t>
            </w:r>
          </w:p>
          <w:p>
            <w:pPr>
              <w:spacing w:line="360" w:lineRule="auto"/>
              <w:rPr>
                <w:rFonts w:ascii="宋体" w:hAnsi="宋体" w:cs="宋体"/>
                <w:bCs/>
                <w:snapToGrid w:val="0"/>
                <w:szCs w:val="21"/>
              </w:rPr>
            </w:pPr>
            <w:r>
              <w:rPr>
                <w:rFonts w:hint="eastAsia" w:ascii="宋体" w:hAnsi="宋体" w:cs="宋体"/>
                <w:bCs/>
                <w:snapToGrid w:val="0"/>
                <w:szCs w:val="21"/>
              </w:rPr>
              <w:t>②中国职业健康安全管理体系认证；</w:t>
            </w:r>
          </w:p>
          <w:p>
            <w:pPr>
              <w:spacing w:line="360" w:lineRule="auto"/>
              <w:rPr>
                <w:rFonts w:ascii="宋体" w:hAnsi="宋体" w:cs="宋体"/>
                <w:bCs/>
                <w:snapToGrid w:val="0"/>
                <w:szCs w:val="21"/>
              </w:rPr>
            </w:pPr>
            <w:r>
              <w:rPr>
                <w:rFonts w:hint="eastAsia" w:ascii="宋体" w:hAnsi="宋体" w:cs="宋体"/>
                <w:bCs/>
                <w:snapToGrid w:val="0"/>
                <w:szCs w:val="21"/>
              </w:rPr>
              <w:t>③环境管理体系认证；</w:t>
            </w:r>
          </w:p>
          <w:p>
            <w:pPr>
              <w:spacing w:line="360" w:lineRule="auto"/>
              <w:rPr>
                <w:rFonts w:hint="eastAsia" w:ascii="宋体" w:hAnsi="宋体" w:eastAsia="宋体" w:cs="宋体"/>
                <w:bCs/>
                <w:snapToGrid w:val="0"/>
                <w:szCs w:val="21"/>
                <w:lang w:eastAsia="zh-CN"/>
              </w:rPr>
            </w:pPr>
            <w:r>
              <w:rPr>
                <w:rFonts w:hint="eastAsia" w:ascii="宋体" w:hAnsi="宋体" w:cs="宋体"/>
                <w:bCs/>
                <w:snapToGrid w:val="0"/>
                <w:szCs w:val="21"/>
              </w:rPr>
              <w:t>④机器人操作系软件著作权登记证书及产品测试报告</w:t>
            </w:r>
            <w:r>
              <w:rPr>
                <w:rFonts w:hint="eastAsia" w:ascii="宋体" w:hAnsi="宋体" w:cs="宋体"/>
                <w:bCs/>
                <w:snapToGrid w:val="0"/>
                <w:szCs w:val="21"/>
                <w:lang w:eastAsia="zh-CN"/>
              </w:rPr>
              <w:t>；</w:t>
            </w:r>
          </w:p>
          <w:p>
            <w:pPr>
              <w:spacing w:line="360" w:lineRule="auto"/>
              <w:rPr>
                <w:rFonts w:hint="eastAsia" w:ascii="宋体" w:hAnsi="宋体" w:eastAsia="宋体" w:cs="宋体"/>
                <w:bCs/>
                <w:strike/>
                <w:snapToGrid w:val="0"/>
                <w:color w:val="0000FF"/>
                <w:szCs w:val="21"/>
                <w:lang w:eastAsia="zh-CN"/>
              </w:rPr>
            </w:pPr>
            <w:r>
              <w:rPr>
                <w:rFonts w:hint="eastAsia" w:ascii="宋体" w:hAnsi="宋体" w:cs="宋体"/>
                <w:bCs/>
                <w:snapToGrid w:val="0"/>
                <w:szCs w:val="21"/>
              </w:rPr>
              <w:t>⑤</w:t>
            </w:r>
            <w:r>
              <w:rPr>
                <w:rFonts w:hint="eastAsia" w:ascii="宋体" w:hAnsi="宋体" w:cs="宋体"/>
                <w:bCs/>
                <w:snapToGrid w:val="0"/>
                <w:szCs w:val="21"/>
                <w:lang w:val="en-US" w:eastAsia="zh-CN"/>
              </w:rPr>
              <w:t>所投本产品均具有</w:t>
            </w:r>
            <w:r>
              <w:rPr>
                <w:rFonts w:hint="eastAsia" w:ascii="宋体" w:hAnsi="宋体" w:cs="宋体"/>
                <w:bCs/>
                <w:snapToGrid w:val="0"/>
                <w:szCs w:val="21"/>
              </w:rPr>
              <w:t>国家强制性产品认证证书</w:t>
            </w:r>
            <w:r>
              <w:rPr>
                <w:rFonts w:hint="eastAsia" w:ascii="宋体" w:hAnsi="宋体" w:cs="宋体"/>
                <w:bCs/>
                <w:snapToGrid w:val="0"/>
                <w:szCs w:val="21"/>
                <w:lang w:eastAsia="zh-CN"/>
              </w:rPr>
              <w:t>；</w:t>
            </w:r>
          </w:p>
          <w:p>
            <w:pPr>
              <w:spacing w:line="360" w:lineRule="auto"/>
              <w:rPr>
                <w:rFonts w:hint="eastAsia" w:ascii="宋体" w:hAnsi="宋体" w:cs="宋体"/>
                <w:bCs/>
                <w:snapToGrid w:val="0"/>
                <w:szCs w:val="21"/>
              </w:rPr>
            </w:pPr>
            <w:r>
              <w:rPr>
                <w:rFonts w:hint="eastAsia" w:ascii="宋体" w:hAnsi="宋体" w:cs="宋体"/>
                <w:bCs/>
                <w:snapToGrid w:val="0"/>
                <w:szCs w:val="21"/>
              </w:rPr>
              <w:t xml:space="preserve">⑥机电安装工程专业承包三级及以上资质。 </w:t>
            </w:r>
          </w:p>
          <w:p>
            <w:pPr>
              <w:spacing w:line="360" w:lineRule="auto"/>
              <w:rPr>
                <w:rFonts w:ascii="宋体" w:hAnsi="宋体" w:cs="宋体"/>
                <w:bCs/>
                <w:snapToGrid w:val="0"/>
                <w:szCs w:val="21"/>
              </w:rPr>
            </w:pPr>
            <w:r>
              <w:rPr>
                <w:rFonts w:hint="eastAsia" w:ascii="宋体" w:hAnsi="宋体" w:cs="宋体"/>
                <w:bCs/>
                <w:snapToGrid w:val="0"/>
                <w:szCs w:val="21"/>
              </w:rPr>
              <w:t>注：提供相关证明材料复印件或扫描件或影印件；体系认证还需提供中国国家认证认可监督管理委员会网站查询截图。</w:t>
            </w:r>
          </w:p>
        </w:tc>
        <w:tc>
          <w:tcPr>
            <w:tcW w:w="837" w:type="dxa"/>
          </w:tcPr>
          <w:p>
            <w:pPr>
              <w:spacing w:line="360" w:lineRule="auto"/>
              <w:ind w:firstLine="420"/>
              <w:rPr>
                <w:rFonts w:ascii="宋体" w:hAnsi="宋体" w:cs="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exact"/>
        </w:trPr>
        <w:tc>
          <w:tcPr>
            <w:tcW w:w="468" w:type="dxa"/>
            <w:vAlign w:val="center"/>
          </w:tcPr>
          <w:p>
            <w:pPr>
              <w:rPr>
                <w:rFonts w:hint="eastAsia" w:eastAsia="宋体"/>
                <w:szCs w:val="21"/>
                <w:lang w:val="en-US" w:eastAsia="zh-CN"/>
              </w:rPr>
            </w:pPr>
            <w:r>
              <w:rPr>
                <w:rFonts w:hint="eastAsia"/>
                <w:szCs w:val="21"/>
                <w:lang w:val="en-US" w:eastAsia="zh-CN"/>
              </w:rPr>
              <w:t>4</w:t>
            </w:r>
          </w:p>
        </w:tc>
        <w:tc>
          <w:tcPr>
            <w:tcW w:w="706" w:type="dxa"/>
          </w:tcPr>
          <w:p>
            <w:pPr>
              <w:spacing w:line="340" w:lineRule="exact"/>
              <w:ind w:left="112" w:firstLine="2"/>
              <w:jc w:val="left"/>
              <w:rPr>
                <w:rFonts w:ascii="宋体" w:hAnsi="宋体" w:cs="宋体"/>
                <w:spacing w:val="9"/>
                <w:sz w:val="22"/>
                <w:szCs w:val="22"/>
              </w:rPr>
            </w:pPr>
          </w:p>
          <w:p>
            <w:pPr>
              <w:spacing w:line="340" w:lineRule="exact"/>
              <w:ind w:left="112" w:firstLine="2"/>
              <w:jc w:val="left"/>
              <w:rPr>
                <w:rFonts w:ascii="宋体" w:hAnsi="宋体" w:cs="宋体"/>
                <w:spacing w:val="9"/>
                <w:sz w:val="22"/>
                <w:szCs w:val="22"/>
              </w:rPr>
            </w:pPr>
          </w:p>
          <w:p>
            <w:pPr>
              <w:spacing w:line="340" w:lineRule="exact"/>
              <w:jc w:val="left"/>
              <w:rPr>
                <w:rFonts w:ascii="宋体" w:hAnsi="宋体" w:cs="宋体"/>
                <w:spacing w:val="9"/>
                <w:sz w:val="22"/>
                <w:szCs w:val="22"/>
              </w:rPr>
            </w:pPr>
          </w:p>
          <w:p>
            <w:pPr>
              <w:spacing w:line="340" w:lineRule="exact"/>
              <w:jc w:val="left"/>
              <w:rPr>
                <w:rFonts w:ascii="宋体" w:hAnsi="宋体" w:cs="宋体"/>
                <w:spacing w:val="9"/>
                <w:sz w:val="22"/>
                <w:szCs w:val="22"/>
              </w:rPr>
            </w:pPr>
            <w:r>
              <w:rPr>
                <w:rFonts w:hint="eastAsia" w:ascii="宋体" w:hAnsi="宋体" w:cs="宋体"/>
                <w:spacing w:val="9"/>
                <w:sz w:val="22"/>
                <w:szCs w:val="22"/>
              </w:rPr>
              <w:t>实施</w:t>
            </w:r>
          </w:p>
          <w:p>
            <w:pPr>
              <w:spacing w:line="340" w:lineRule="exact"/>
              <w:ind w:left="112" w:firstLine="2"/>
              <w:jc w:val="left"/>
              <w:rPr>
                <w:szCs w:val="21"/>
              </w:rPr>
            </w:pPr>
            <w:r>
              <w:rPr>
                <w:rFonts w:hint="eastAsia" w:ascii="宋体" w:hAnsi="宋体" w:cs="宋体"/>
                <w:spacing w:val="9"/>
                <w:sz w:val="22"/>
                <w:szCs w:val="22"/>
              </w:rPr>
              <w:t>方案</w:t>
            </w:r>
          </w:p>
        </w:tc>
        <w:tc>
          <w:tcPr>
            <w:tcW w:w="700" w:type="dxa"/>
          </w:tcPr>
          <w:p>
            <w:pPr>
              <w:spacing w:line="340" w:lineRule="exact"/>
              <w:ind w:left="112" w:firstLine="2"/>
              <w:jc w:val="center"/>
              <w:rPr>
                <w:rFonts w:ascii="宋体" w:hAnsi="宋体" w:cs="宋体"/>
                <w:spacing w:val="9"/>
                <w:sz w:val="22"/>
                <w:szCs w:val="22"/>
              </w:rPr>
            </w:pPr>
          </w:p>
          <w:p>
            <w:pPr>
              <w:spacing w:line="340" w:lineRule="exact"/>
              <w:ind w:left="112" w:firstLine="2"/>
              <w:jc w:val="center"/>
              <w:rPr>
                <w:rFonts w:ascii="宋体" w:hAnsi="宋体" w:cs="宋体"/>
                <w:spacing w:val="9"/>
                <w:sz w:val="22"/>
                <w:szCs w:val="22"/>
              </w:rPr>
            </w:pPr>
          </w:p>
          <w:p>
            <w:pPr>
              <w:spacing w:line="340" w:lineRule="exact"/>
              <w:ind w:left="112" w:firstLine="2"/>
              <w:jc w:val="center"/>
              <w:rPr>
                <w:rFonts w:ascii="宋体" w:hAnsi="宋体" w:cs="宋体"/>
                <w:spacing w:val="9"/>
                <w:sz w:val="22"/>
                <w:szCs w:val="22"/>
              </w:rPr>
            </w:pPr>
          </w:p>
          <w:p>
            <w:pPr>
              <w:spacing w:line="340" w:lineRule="exact"/>
              <w:jc w:val="center"/>
              <w:rPr>
                <w:rFonts w:ascii="宋体" w:hAnsi="宋体" w:cs="宋体"/>
                <w:spacing w:val="9"/>
                <w:sz w:val="22"/>
                <w:szCs w:val="22"/>
              </w:rPr>
            </w:pPr>
          </w:p>
          <w:p>
            <w:pPr>
              <w:spacing w:line="340" w:lineRule="exact"/>
              <w:jc w:val="center"/>
              <w:rPr>
                <w:szCs w:val="21"/>
              </w:rPr>
            </w:pPr>
            <w:r>
              <w:rPr>
                <w:rFonts w:hint="eastAsia" w:ascii="宋体" w:hAnsi="宋体" w:cs="宋体"/>
                <w:spacing w:val="9"/>
                <w:sz w:val="22"/>
                <w:szCs w:val="22"/>
              </w:rPr>
              <w:t>25</w:t>
            </w:r>
          </w:p>
        </w:tc>
        <w:tc>
          <w:tcPr>
            <w:tcW w:w="6085" w:type="dxa"/>
          </w:tcPr>
          <w:p>
            <w:pPr>
              <w:spacing w:line="360" w:lineRule="auto"/>
              <w:rPr>
                <w:rFonts w:ascii="宋体" w:hAnsi="宋体" w:cs="宋体"/>
                <w:bCs/>
                <w:snapToGrid w:val="0"/>
                <w:szCs w:val="21"/>
              </w:rPr>
            </w:pPr>
            <w:r>
              <w:rPr>
                <w:rFonts w:hint="eastAsia" w:ascii="宋体" w:hAnsi="宋体" w:cs="宋体"/>
                <w:bCs/>
                <w:snapToGrid w:val="0"/>
                <w:szCs w:val="21"/>
              </w:rPr>
              <w:t>供应商须提供切实可行的实施方案， 内容应包含但不限于项目组织架构、人力资源配置、质量管理、进度计划、安全管理等。</w:t>
            </w:r>
          </w:p>
          <w:p>
            <w:pPr>
              <w:spacing w:line="360" w:lineRule="auto"/>
              <w:rPr>
                <w:rFonts w:hint="eastAsia" w:ascii="宋体" w:hAnsi="宋体" w:cs="宋体"/>
                <w:bCs/>
                <w:snapToGrid w:val="0"/>
                <w:szCs w:val="21"/>
              </w:rPr>
            </w:pPr>
            <w:r>
              <w:rPr>
                <w:rFonts w:hint="eastAsia" w:ascii="宋体" w:hAnsi="宋体" w:cs="宋体"/>
                <w:bCs/>
                <w:snapToGrid w:val="0"/>
                <w:szCs w:val="21"/>
              </w:rPr>
              <w:t>①方案完善、措施合理、可行性强的，得 25分；</w:t>
            </w:r>
          </w:p>
          <w:p>
            <w:pPr>
              <w:spacing w:line="360" w:lineRule="auto"/>
              <w:rPr>
                <w:rFonts w:hint="eastAsia" w:ascii="宋体" w:hAnsi="宋体" w:cs="宋体"/>
                <w:bCs/>
                <w:snapToGrid w:val="0"/>
                <w:szCs w:val="21"/>
              </w:rPr>
            </w:pPr>
            <w:r>
              <w:rPr>
                <w:rFonts w:hint="eastAsia" w:ascii="宋体" w:hAnsi="宋体" w:cs="宋体"/>
                <w:bCs/>
                <w:snapToGrid w:val="0"/>
                <w:szCs w:val="21"/>
              </w:rPr>
              <w:t>②方案较完善、措施较合理、可行性较强的，得20分；</w:t>
            </w:r>
          </w:p>
          <w:p>
            <w:pPr>
              <w:spacing w:line="360" w:lineRule="auto"/>
              <w:rPr>
                <w:rFonts w:hint="eastAsia" w:ascii="宋体" w:hAnsi="宋体" w:cs="宋体"/>
                <w:bCs/>
                <w:snapToGrid w:val="0"/>
                <w:szCs w:val="21"/>
              </w:rPr>
            </w:pPr>
            <w:r>
              <w:rPr>
                <w:rFonts w:hint="eastAsia" w:ascii="宋体" w:hAnsi="宋体" w:cs="宋体"/>
                <w:bCs/>
                <w:snapToGrid w:val="0"/>
                <w:szCs w:val="21"/>
              </w:rPr>
              <w:t>③方案完善性、措施合理性、可行性一般的，得15分；</w:t>
            </w:r>
          </w:p>
          <w:p>
            <w:pPr>
              <w:spacing w:line="360" w:lineRule="auto"/>
              <w:rPr>
                <w:rFonts w:ascii="宋体" w:hAnsi="宋体" w:cs="宋体"/>
                <w:bCs/>
                <w:snapToGrid w:val="0"/>
                <w:szCs w:val="21"/>
              </w:rPr>
            </w:pPr>
            <w:r>
              <w:rPr>
                <w:rFonts w:hint="eastAsia" w:ascii="宋体" w:hAnsi="宋体" w:cs="宋体"/>
                <w:bCs/>
                <w:snapToGrid w:val="0"/>
                <w:szCs w:val="21"/>
              </w:rPr>
              <w:t>④方案不合理，不可行的或未提供的，不得分；</w:t>
            </w:r>
          </w:p>
        </w:tc>
        <w:tc>
          <w:tcPr>
            <w:tcW w:w="837" w:type="dxa"/>
          </w:tcPr>
          <w:p>
            <w:pPr>
              <w:spacing w:line="360" w:lineRule="auto"/>
              <w:ind w:firstLine="420"/>
              <w:rPr>
                <w:rFonts w:ascii="宋体" w:hAnsi="宋体" w:cs="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exact"/>
        </w:trPr>
        <w:tc>
          <w:tcPr>
            <w:tcW w:w="468" w:type="dxa"/>
            <w:vAlign w:val="center"/>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706" w:type="dxa"/>
            <w:vAlign w:val="center"/>
          </w:tcPr>
          <w:p>
            <w:pPr>
              <w:spacing w:line="340" w:lineRule="exact"/>
              <w:jc w:val="center"/>
              <w:rPr>
                <w:rFonts w:ascii="宋体" w:hAnsi="宋体" w:cs="宋体"/>
                <w:spacing w:val="9"/>
                <w:sz w:val="22"/>
                <w:szCs w:val="22"/>
              </w:rPr>
            </w:pPr>
          </w:p>
          <w:p>
            <w:pPr>
              <w:spacing w:line="340" w:lineRule="exact"/>
              <w:jc w:val="center"/>
              <w:rPr>
                <w:rFonts w:ascii="宋体" w:hAnsi="宋体" w:cs="宋体"/>
                <w:spacing w:val="9"/>
                <w:sz w:val="22"/>
                <w:szCs w:val="22"/>
              </w:rPr>
            </w:pPr>
          </w:p>
          <w:p>
            <w:pPr>
              <w:spacing w:line="340" w:lineRule="exact"/>
              <w:jc w:val="center"/>
              <w:rPr>
                <w:rFonts w:ascii="宋体" w:hAnsi="宋体" w:cs="宋体"/>
                <w:spacing w:val="9"/>
                <w:sz w:val="22"/>
                <w:szCs w:val="22"/>
              </w:rPr>
            </w:pPr>
            <w:r>
              <w:rPr>
                <w:rFonts w:hint="eastAsia" w:ascii="宋体" w:hAnsi="宋体" w:cs="宋体"/>
                <w:spacing w:val="9"/>
                <w:sz w:val="22"/>
                <w:szCs w:val="22"/>
              </w:rPr>
              <w:t>售后</w:t>
            </w:r>
          </w:p>
          <w:p>
            <w:pPr>
              <w:spacing w:line="340" w:lineRule="exact"/>
              <w:ind w:left="112" w:firstLine="2"/>
              <w:jc w:val="center"/>
              <w:rPr>
                <w:rFonts w:ascii="宋体" w:hAnsi="宋体" w:cs="宋体"/>
                <w:bCs/>
                <w:szCs w:val="21"/>
              </w:rPr>
            </w:pPr>
            <w:r>
              <w:rPr>
                <w:rFonts w:hint="eastAsia" w:ascii="宋体" w:hAnsi="宋体" w:cs="宋体"/>
                <w:spacing w:val="9"/>
                <w:sz w:val="22"/>
                <w:szCs w:val="22"/>
              </w:rPr>
              <w:t>服务</w:t>
            </w:r>
          </w:p>
        </w:tc>
        <w:tc>
          <w:tcPr>
            <w:tcW w:w="700" w:type="dxa"/>
            <w:vAlign w:val="center"/>
          </w:tcPr>
          <w:p>
            <w:pPr>
              <w:spacing w:line="340" w:lineRule="exact"/>
              <w:jc w:val="center"/>
              <w:rPr>
                <w:rFonts w:ascii="宋体" w:hAnsi="宋体" w:cs="宋体"/>
                <w:bCs/>
                <w:szCs w:val="21"/>
              </w:rPr>
            </w:pPr>
            <w:r>
              <w:rPr>
                <w:rFonts w:hint="eastAsia" w:ascii="宋体" w:hAnsi="宋体" w:cs="宋体"/>
                <w:spacing w:val="9"/>
                <w:sz w:val="22"/>
                <w:szCs w:val="22"/>
              </w:rPr>
              <w:t>15</w:t>
            </w:r>
          </w:p>
        </w:tc>
        <w:tc>
          <w:tcPr>
            <w:tcW w:w="6085" w:type="dxa"/>
          </w:tcPr>
          <w:p>
            <w:pPr>
              <w:spacing w:line="360" w:lineRule="auto"/>
              <w:rPr>
                <w:rFonts w:ascii="宋体" w:hAnsi="宋体" w:cs="宋体"/>
                <w:bCs/>
                <w:snapToGrid w:val="0"/>
                <w:szCs w:val="21"/>
              </w:rPr>
            </w:pPr>
            <w:r>
              <w:rPr>
                <w:rFonts w:hint="eastAsia" w:ascii="宋体" w:hAnsi="宋体" w:cs="宋体"/>
                <w:bCs/>
                <w:snapToGrid w:val="0"/>
                <w:szCs w:val="21"/>
              </w:rPr>
              <w:t xml:space="preserve">供应商须根据本项目需求提供明确的运维及售后服务方案内容，应包括但不限于售后服务机构、售后服务体系、响应时间、售后服务计划及措施、售后服务承诺等。                         </w:t>
            </w:r>
          </w:p>
          <w:p>
            <w:pPr>
              <w:spacing w:line="360" w:lineRule="auto"/>
              <w:rPr>
                <w:rFonts w:ascii="宋体" w:hAnsi="宋体" w:cs="宋体"/>
                <w:bCs/>
                <w:snapToGrid w:val="0"/>
                <w:szCs w:val="21"/>
              </w:rPr>
            </w:pPr>
            <w:r>
              <w:rPr>
                <w:rFonts w:hint="eastAsia" w:ascii="宋体" w:hAnsi="宋体" w:cs="宋体"/>
                <w:bCs/>
                <w:snapToGrid w:val="0"/>
                <w:szCs w:val="21"/>
              </w:rPr>
              <w:t xml:space="preserve">①方案完善、措施合理、可行性强的，得15分；              </w:t>
            </w:r>
          </w:p>
          <w:p>
            <w:pPr>
              <w:spacing w:line="360" w:lineRule="auto"/>
              <w:rPr>
                <w:rFonts w:ascii="宋体" w:hAnsi="宋体" w:cs="宋体"/>
                <w:bCs/>
                <w:snapToGrid w:val="0"/>
                <w:szCs w:val="21"/>
              </w:rPr>
            </w:pPr>
            <w:r>
              <w:rPr>
                <w:rFonts w:hint="eastAsia" w:ascii="宋体" w:hAnsi="宋体" w:cs="宋体"/>
                <w:bCs/>
                <w:snapToGrid w:val="0"/>
                <w:szCs w:val="21"/>
              </w:rPr>
              <w:t>②方案较完善、措施较合理、可行性较强的，得</w:t>
            </w:r>
            <w:r>
              <w:rPr>
                <w:rFonts w:hint="eastAsia" w:ascii="宋体" w:hAnsi="宋体" w:cs="宋体"/>
                <w:bCs/>
                <w:snapToGrid w:val="0"/>
                <w:color w:val="auto"/>
                <w:szCs w:val="21"/>
              </w:rPr>
              <w:t>12.5</w:t>
            </w:r>
            <w:r>
              <w:rPr>
                <w:rFonts w:hint="eastAsia" w:ascii="宋体" w:hAnsi="宋体" w:cs="宋体"/>
                <w:bCs/>
                <w:snapToGrid w:val="0"/>
                <w:szCs w:val="21"/>
              </w:rPr>
              <w:t>分；</w:t>
            </w:r>
          </w:p>
          <w:p>
            <w:pPr>
              <w:spacing w:line="360" w:lineRule="auto"/>
              <w:rPr>
                <w:rFonts w:ascii="宋体" w:hAnsi="宋体" w:cs="宋体"/>
                <w:bCs/>
                <w:snapToGrid w:val="0"/>
                <w:szCs w:val="21"/>
              </w:rPr>
            </w:pPr>
            <w:r>
              <w:rPr>
                <w:rFonts w:hint="eastAsia" w:ascii="宋体" w:hAnsi="宋体" w:cs="宋体"/>
                <w:bCs/>
                <w:snapToGrid w:val="0"/>
                <w:szCs w:val="21"/>
              </w:rPr>
              <w:t>③方案完善性、措施合理性、可行性一般的，得10分；</w:t>
            </w:r>
          </w:p>
          <w:p>
            <w:pPr>
              <w:spacing w:line="360" w:lineRule="auto"/>
              <w:rPr>
                <w:rFonts w:ascii="宋体" w:hAnsi="宋体" w:cs="宋体"/>
                <w:bCs/>
                <w:snapToGrid w:val="0"/>
                <w:szCs w:val="21"/>
              </w:rPr>
            </w:pPr>
            <w:r>
              <w:rPr>
                <w:rFonts w:hint="eastAsia" w:ascii="宋体" w:hAnsi="宋体" w:cs="宋体"/>
                <w:bCs/>
                <w:snapToGrid w:val="0"/>
                <w:szCs w:val="21"/>
              </w:rPr>
              <w:t>④方案不合理或未提供的，不得分。</w:t>
            </w:r>
          </w:p>
        </w:tc>
        <w:tc>
          <w:tcPr>
            <w:tcW w:w="837" w:type="dxa"/>
          </w:tcPr>
          <w:p>
            <w:pPr>
              <w:spacing w:line="360" w:lineRule="auto"/>
              <w:ind w:firstLine="420"/>
              <w:rPr>
                <w:rFonts w:ascii="宋体" w:hAnsi="宋体" w:cs="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trPr>
        <w:tc>
          <w:tcPr>
            <w:tcW w:w="468" w:type="dxa"/>
            <w:vAlign w:val="center"/>
          </w:tcPr>
          <w:p>
            <w:pPr>
              <w:spacing w:line="360" w:lineRule="auto"/>
              <w:rPr>
                <w:rFonts w:hint="eastAsia" w:ascii="宋体" w:hAnsi="宋体" w:eastAsia="宋体" w:cs="宋体"/>
                <w:bCs/>
                <w:snapToGrid w:val="0"/>
                <w:szCs w:val="21"/>
                <w:lang w:val="en-US" w:eastAsia="zh-CN"/>
              </w:rPr>
            </w:pPr>
            <w:r>
              <w:rPr>
                <w:rFonts w:hint="eastAsia" w:ascii="宋体" w:hAnsi="宋体" w:cs="宋体"/>
                <w:bCs/>
                <w:snapToGrid w:val="0"/>
                <w:szCs w:val="21"/>
                <w:lang w:val="en-US" w:eastAsia="zh-CN"/>
              </w:rPr>
              <w:t>6</w:t>
            </w:r>
          </w:p>
        </w:tc>
        <w:tc>
          <w:tcPr>
            <w:tcW w:w="706" w:type="dxa"/>
            <w:vAlign w:val="center"/>
          </w:tcPr>
          <w:p>
            <w:pPr>
              <w:spacing w:line="360" w:lineRule="auto"/>
              <w:rPr>
                <w:rFonts w:ascii="宋体" w:hAnsi="宋体" w:cs="宋体"/>
                <w:bCs/>
                <w:snapToGrid w:val="0"/>
                <w:szCs w:val="21"/>
              </w:rPr>
            </w:pPr>
            <w:r>
              <w:rPr>
                <w:rFonts w:hint="eastAsia" w:ascii="宋体" w:hAnsi="宋体" w:cs="宋体"/>
                <w:bCs/>
                <w:snapToGrid w:val="0"/>
                <w:szCs w:val="21"/>
              </w:rPr>
              <w:t>报价</w:t>
            </w:r>
          </w:p>
        </w:tc>
        <w:tc>
          <w:tcPr>
            <w:tcW w:w="700" w:type="dxa"/>
            <w:vAlign w:val="center"/>
          </w:tcPr>
          <w:p>
            <w:pPr>
              <w:spacing w:line="360" w:lineRule="auto"/>
              <w:jc w:val="center"/>
              <w:rPr>
                <w:rFonts w:ascii="宋体" w:hAnsi="宋体" w:cs="宋体"/>
                <w:bCs/>
                <w:snapToGrid w:val="0"/>
                <w:szCs w:val="21"/>
              </w:rPr>
            </w:pPr>
            <w:r>
              <w:rPr>
                <w:rFonts w:hint="eastAsia" w:ascii="宋体" w:hAnsi="宋体" w:cs="宋体"/>
                <w:bCs/>
                <w:snapToGrid w:val="0"/>
                <w:szCs w:val="21"/>
              </w:rPr>
              <w:t>30</w:t>
            </w:r>
          </w:p>
        </w:tc>
        <w:tc>
          <w:tcPr>
            <w:tcW w:w="6085" w:type="dxa"/>
            <w:vAlign w:val="center"/>
          </w:tcPr>
          <w:p>
            <w:pPr>
              <w:spacing w:line="360" w:lineRule="auto"/>
              <w:rPr>
                <w:rFonts w:ascii="宋体" w:hAnsi="宋体" w:cs="宋体"/>
                <w:bCs/>
                <w:snapToGrid w:val="0"/>
                <w:szCs w:val="21"/>
              </w:rPr>
            </w:pPr>
            <w:r>
              <w:rPr>
                <w:rFonts w:hint="eastAsia" w:ascii="宋体" w:hAnsi="宋体" w:cs="宋体"/>
                <w:bCs/>
                <w:snapToGrid w:val="0"/>
                <w:szCs w:val="21"/>
              </w:rPr>
              <w:t xml:space="preserve">价格分统一采用低价优先法，即满足招标文件要求且报价最低的最后磋商报价为评标基准价，其价格分为满分30分。其他供应商的价格分统一按照下列公式计算： </w:t>
            </w:r>
            <w:bookmarkStart w:id="143" w:name="_GoBack"/>
            <w:bookmarkEnd w:id="143"/>
          </w:p>
          <w:p>
            <w:pPr>
              <w:spacing w:line="360" w:lineRule="auto"/>
              <w:rPr>
                <w:rFonts w:ascii="宋体" w:hAnsi="宋体" w:cs="宋体"/>
                <w:bCs/>
                <w:snapToGrid w:val="0"/>
                <w:szCs w:val="21"/>
              </w:rPr>
            </w:pPr>
            <w:r>
              <w:rPr>
                <w:rFonts w:hint="eastAsia" w:ascii="宋体" w:hAnsi="宋体" w:cs="宋体"/>
                <w:bCs/>
                <w:snapToGrid w:val="0"/>
                <w:szCs w:val="21"/>
              </w:rPr>
              <w:t xml:space="preserve">磋商报价得分＝（评标基准价/最后磋商报价）×30％×100 </w:t>
            </w:r>
          </w:p>
          <w:p>
            <w:pPr>
              <w:spacing w:line="360" w:lineRule="auto"/>
              <w:rPr>
                <w:rFonts w:ascii="宋体" w:hAnsi="宋体" w:cs="宋体"/>
                <w:bCs/>
                <w:snapToGrid w:val="0"/>
                <w:szCs w:val="21"/>
              </w:rPr>
            </w:pPr>
            <w:r>
              <w:rPr>
                <w:rFonts w:hint="eastAsia" w:ascii="宋体" w:hAnsi="宋体" w:cs="宋体"/>
                <w:bCs/>
                <w:snapToGrid w:val="0"/>
                <w:szCs w:val="21"/>
              </w:rPr>
              <w:t>（商务报价分计算至小数点后第二位、小数点后第三位四舍五入）</w:t>
            </w:r>
          </w:p>
        </w:tc>
        <w:tc>
          <w:tcPr>
            <w:tcW w:w="837" w:type="dxa"/>
          </w:tcPr>
          <w:p>
            <w:pPr>
              <w:spacing w:line="360" w:lineRule="auto"/>
              <w:ind w:firstLine="420"/>
              <w:rPr>
                <w:rFonts w:ascii="宋体" w:hAnsi="宋体" w:cs="宋体"/>
                <w:bCs/>
                <w:snapToGrid w:val="0"/>
                <w:szCs w:val="21"/>
              </w:rPr>
            </w:pPr>
          </w:p>
        </w:tc>
      </w:tr>
    </w:tbl>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6" w:firstLineChars="150"/>
        <w:rPr>
          <w:rFonts w:ascii="宋体" w:hAnsi="宋体" w:cs="宋体"/>
          <w:b/>
          <w:szCs w:val="21"/>
        </w:rPr>
      </w:pPr>
      <w:r>
        <w:rPr>
          <w:rFonts w:hint="eastAsia" w:ascii="宋体" w:hAnsi="宋体" w:cs="宋体"/>
          <w:b/>
          <w:szCs w:val="21"/>
        </w:rPr>
        <w:t>（2）供应商提供的证明材料要能清晰反映评分的实质内容，如因材料模糊不清，导致磋商小组无法辨认的，磋商小组可以不予认可，一切后果由供应商自行承担。</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通过邮箱</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通过邮箱</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rPr>
      </w:pPr>
      <w:r>
        <w:rPr>
          <w:rFonts w:hint="eastAsia" w:ascii="宋体" w:hAnsi="宋体"/>
          <w:szCs w:val="21"/>
        </w:rPr>
        <w:t>27、</w:t>
      </w:r>
      <w:r>
        <w:rPr>
          <w:rFonts w:hint="eastAsia" w:ascii="宋体" w:hAnsi="宋体"/>
          <w:b/>
          <w:bCs/>
          <w:szCs w:val="21"/>
        </w:rPr>
        <w:t>确定成交供应商</w:t>
      </w:r>
    </w:p>
    <w:p>
      <w:pPr>
        <w:widowControl/>
        <w:spacing w:line="500" w:lineRule="exact"/>
        <w:ind w:firstLine="420"/>
        <w:jc w:val="left"/>
        <w:rPr>
          <w:rStyle w:val="70"/>
          <w:color w:val="auto"/>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0"/>
          <w:rFonts w:hint="eastAsia"/>
          <w:color w:val="auto"/>
          <w:szCs w:val="21"/>
          <w:u w:val="none"/>
        </w:rPr>
        <w:t>不得将其推荐为成交候选人，依序递补，并再次对递补的供应商进行核查。</w:t>
      </w:r>
      <w:r>
        <w:rPr>
          <w:rStyle w:val="70"/>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76"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76"/>
    </w:p>
    <w:p>
      <w:pPr>
        <w:spacing w:line="360" w:lineRule="auto"/>
        <w:ind w:firstLine="420" w:firstLineChars="200"/>
        <w:rPr>
          <w:rFonts w:ascii="宋体" w:hAnsi="宋体" w:cs="宋体"/>
          <w:szCs w:val="21"/>
        </w:rPr>
      </w:pPr>
      <w:bookmarkStart w:id="77" w:name="_Toc476584427"/>
      <w:bookmarkStart w:id="78" w:name="_Toc13514"/>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77"/>
      <w:bookmarkEnd w:id="78"/>
      <w:r>
        <w:rPr>
          <w:rFonts w:hint="eastAsia" w:ascii="宋体" w:hAnsi="宋体" w:cs="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29.4.1、中标人应在收到缴费通知后三日内按招标文件要求缴纳服务费。</w:t>
      </w:r>
    </w:p>
    <w:p>
      <w:pPr>
        <w:widowControl/>
        <w:spacing w:line="500" w:lineRule="exact"/>
        <w:ind w:firstLine="405"/>
        <w:jc w:val="left"/>
        <w:rPr>
          <w:rFonts w:ascii="宋体" w:hAnsi="宋体"/>
          <w:szCs w:val="21"/>
        </w:rPr>
      </w:pPr>
      <w:r>
        <w:rPr>
          <w:rFonts w:hint="eastAsia" w:ascii="宋体" w:hAnsi="宋体"/>
          <w:szCs w:val="21"/>
        </w:rPr>
        <w:t>29.4.2、服务费按差额定率累进法计算。以中标价为计算基数，按下表规定的</w:t>
      </w:r>
      <w:r>
        <w:rPr>
          <w:rFonts w:hint="eastAsia" w:ascii="宋体" w:hAnsi="宋体"/>
          <w:szCs w:val="21"/>
          <w:u w:val="single"/>
        </w:rPr>
        <w:t>货物</w:t>
      </w:r>
      <w:r>
        <w:rPr>
          <w:rFonts w:hint="eastAsia" w:ascii="宋体" w:hAnsi="宋体"/>
          <w:szCs w:val="21"/>
        </w:rPr>
        <w:t>招标标准的80%收取。</w:t>
      </w:r>
    </w:p>
    <w:tbl>
      <w:tblPr>
        <w:tblStyle w:val="60"/>
        <w:tblW w:w="78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2"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22nvXAAAACAEAAA8AAAAAAAAAAQAg&#10;AAAAIgAAAGRycy9kb3ducmV2LnhtbFBLAQIUABQAAAAIAIdO4kAxGloH1gEAANIDAAAOAAAAAAAA&#10;AAEAIAAAACYBAABkcnMvZTJvRG9jLnhtbFBLBQYAAAAABgAGAFkBAABuBQAAAAA=&#10;">
                      <v:fill on="f" focussize="0,0"/>
                      <v:stroke color="#000000" joinstyle="round"/>
                      <v:imagedata o:title=""/>
                      <o:lock v:ext="edit" aspectratio="f"/>
                    </v:line>
                  </w:pict>
                </mc:Fallback>
              </mc:AlternateConten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1542"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right"/>
              <w:rPr>
                <w:rFonts w:ascii="宋体" w:hAnsi="宋体" w:cs="宋体"/>
                <w:szCs w:val="21"/>
              </w:rPr>
            </w:pPr>
            <w:r>
              <w:rPr>
                <w:rFonts w:hint="eastAsia" w:ascii="宋体" w:hAnsi="宋体" w:cs="宋体"/>
                <w:kern w:val="0"/>
                <w:szCs w:val="21"/>
              </w:rPr>
              <w:t>1.5%</w:t>
            </w:r>
          </w:p>
        </w:tc>
        <w:tc>
          <w:tcPr>
            <w:tcW w:w="1682" w:type="dxa"/>
          </w:tcPr>
          <w:p>
            <w:pPr>
              <w:ind w:firstLine="210" w:firstLineChars="100"/>
              <w:jc w:val="right"/>
              <w:rPr>
                <w:rFonts w:ascii="宋体" w:hAnsi="宋体" w:cs="宋体"/>
                <w:szCs w:val="21"/>
              </w:rPr>
            </w:pPr>
            <w:r>
              <w:rPr>
                <w:rFonts w:hint="eastAsia" w:ascii="宋体" w:hAnsi="宋体" w:cs="宋体"/>
                <w:kern w:val="0"/>
                <w:szCs w:val="21"/>
              </w:rPr>
              <w:t>1.5%</w:t>
            </w:r>
          </w:p>
        </w:tc>
        <w:tc>
          <w:tcPr>
            <w:tcW w:w="1542" w:type="dxa"/>
          </w:tcPr>
          <w:p>
            <w:pPr>
              <w:ind w:firstLine="210" w:firstLineChars="100"/>
              <w:jc w:val="right"/>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right"/>
              <w:rPr>
                <w:rFonts w:ascii="宋体" w:hAnsi="宋体" w:cs="宋体"/>
                <w:szCs w:val="21"/>
              </w:rPr>
            </w:pPr>
            <w:r>
              <w:rPr>
                <w:rFonts w:hint="eastAsia" w:ascii="宋体" w:hAnsi="宋体" w:cs="宋体"/>
                <w:kern w:val="0"/>
                <w:szCs w:val="21"/>
              </w:rPr>
              <w:t>1.1%</w:t>
            </w:r>
          </w:p>
        </w:tc>
        <w:tc>
          <w:tcPr>
            <w:tcW w:w="1682" w:type="dxa"/>
          </w:tcPr>
          <w:p>
            <w:pPr>
              <w:ind w:firstLine="210" w:firstLineChars="100"/>
              <w:jc w:val="right"/>
              <w:rPr>
                <w:rFonts w:ascii="宋体" w:hAnsi="宋体" w:cs="宋体"/>
                <w:szCs w:val="21"/>
              </w:rPr>
            </w:pPr>
            <w:r>
              <w:rPr>
                <w:rFonts w:hint="eastAsia" w:ascii="宋体" w:hAnsi="宋体" w:cs="宋体"/>
                <w:kern w:val="0"/>
                <w:szCs w:val="21"/>
              </w:rPr>
              <w:t>0.8%</w:t>
            </w:r>
          </w:p>
        </w:tc>
        <w:tc>
          <w:tcPr>
            <w:tcW w:w="1542" w:type="dxa"/>
          </w:tcPr>
          <w:p>
            <w:pPr>
              <w:ind w:firstLine="210" w:firstLineChars="100"/>
              <w:jc w:val="right"/>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right"/>
              <w:rPr>
                <w:rFonts w:ascii="宋体" w:hAnsi="宋体" w:cs="宋体"/>
                <w:szCs w:val="21"/>
              </w:rPr>
            </w:pPr>
            <w:r>
              <w:rPr>
                <w:rFonts w:hint="eastAsia" w:ascii="宋体" w:hAnsi="宋体" w:cs="宋体"/>
                <w:kern w:val="0"/>
                <w:szCs w:val="21"/>
              </w:rPr>
              <w:t>0.8%</w:t>
            </w:r>
          </w:p>
        </w:tc>
        <w:tc>
          <w:tcPr>
            <w:tcW w:w="1682" w:type="dxa"/>
          </w:tcPr>
          <w:p>
            <w:pPr>
              <w:ind w:firstLine="210" w:firstLineChars="100"/>
              <w:jc w:val="right"/>
              <w:rPr>
                <w:rFonts w:ascii="宋体" w:hAnsi="宋体" w:cs="宋体"/>
                <w:szCs w:val="21"/>
              </w:rPr>
            </w:pPr>
            <w:r>
              <w:rPr>
                <w:rFonts w:hint="eastAsia" w:ascii="宋体" w:hAnsi="宋体" w:cs="宋体"/>
                <w:kern w:val="0"/>
                <w:szCs w:val="21"/>
              </w:rPr>
              <w:t>0.45%</w:t>
            </w:r>
          </w:p>
        </w:tc>
        <w:tc>
          <w:tcPr>
            <w:tcW w:w="1542" w:type="dxa"/>
          </w:tcPr>
          <w:p>
            <w:pPr>
              <w:ind w:firstLine="210" w:firstLineChars="100"/>
              <w:jc w:val="right"/>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right"/>
              <w:rPr>
                <w:rFonts w:ascii="宋体" w:hAnsi="宋体" w:cs="宋体"/>
                <w:szCs w:val="21"/>
              </w:rPr>
            </w:pPr>
            <w:r>
              <w:rPr>
                <w:rFonts w:hint="eastAsia" w:ascii="宋体" w:hAnsi="宋体" w:cs="宋体"/>
                <w:kern w:val="0"/>
                <w:szCs w:val="21"/>
              </w:rPr>
              <w:t>0.5%</w:t>
            </w:r>
          </w:p>
        </w:tc>
        <w:tc>
          <w:tcPr>
            <w:tcW w:w="1682" w:type="dxa"/>
          </w:tcPr>
          <w:p>
            <w:pPr>
              <w:ind w:firstLine="210" w:firstLineChars="100"/>
              <w:jc w:val="right"/>
              <w:rPr>
                <w:rFonts w:ascii="宋体" w:hAnsi="宋体" w:cs="宋体"/>
                <w:szCs w:val="21"/>
              </w:rPr>
            </w:pPr>
            <w:r>
              <w:rPr>
                <w:rFonts w:hint="eastAsia" w:ascii="宋体" w:hAnsi="宋体" w:cs="宋体"/>
                <w:kern w:val="0"/>
                <w:szCs w:val="21"/>
              </w:rPr>
              <w:t>0.25%</w:t>
            </w:r>
          </w:p>
        </w:tc>
        <w:tc>
          <w:tcPr>
            <w:tcW w:w="1542" w:type="dxa"/>
          </w:tcPr>
          <w:p>
            <w:pPr>
              <w:ind w:firstLine="210" w:firstLineChars="100"/>
              <w:jc w:val="right"/>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right"/>
              <w:rPr>
                <w:rFonts w:ascii="宋体" w:hAnsi="宋体" w:cs="宋体"/>
                <w:szCs w:val="21"/>
              </w:rPr>
            </w:pPr>
            <w:r>
              <w:rPr>
                <w:rFonts w:hint="eastAsia" w:ascii="宋体" w:hAnsi="宋体" w:cs="宋体"/>
                <w:kern w:val="0"/>
                <w:szCs w:val="21"/>
              </w:rPr>
              <w:t>0.25%</w:t>
            </w:r>
          </w:p>
        </w:tc>
        <w:tc>
          <w:tcPr>
            <w:tcW w:w="1682" w:type="dxa"/>
          </w:tcPr>
          <w:p>
            <w:pPr>
              <w:ind w:firstLine="210" w:firstLineChars="100"/>
              <w:jc w:val="right"/>
              <w:rPr>
                <w:rFonts w:ascii="宋体" w:hAnsi="宋体" w:cs="宋体"/>
                <w:szCs w:val="21"/>
              </w:rPr>
            </w:pPr>
            <w:r>
              <w:rPr>
                <w:rFonts w:hint="eastAsia" w:ascii="宋体" w:hAnsi="宋体" w:cs="宋体"/>
                <w:kern w:val="0"/>
                <w:szCs w:val="21"/>
              </w:rPr>
              <w:t>0.1%</w:t>
            </w:r>
          </w:p>
        </w:tc>
        <w:tc>
          <w:tcPr>
            <w:tcW w:w="1542" w:type="dxa"/>
          </w:tcPr>
          <w:p>
            <w:pPr>
              <w:ind w:firstLine="210" w:firstLineChars="100"/>
              <w:jc w:val="right"/>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right"/>
              <w:rPr>
                <w:rFonts w:ascii="宋体" w:hAnsi="宋体" w:cs="宋体"/>
                <w:szCs w:val="21"/>
              </w:rPr>
            </w:pPr>
            <w:r>
              <w:rPr>
                <w:rFonts w:hint="eastAsia" w:ascii="宋体" w:hAnsi="宋体" w:cs="宋体"/>
                <w:szCs w:val="21"/>
              </w:rPr>
              <w:t>0.05%</w:t>
            </w:r>
          </w:p>
        </w:tc>
        <w:tc>
          <w:tcPr>
            <w:tcW w:w="1682" w:type="dxa"/>
          </w:tcPr>
          <w:p>
            <w:pPr>
              <w:jc w:val="right"/>
              <w:rPr>
                <w:rFonts w:ascii="宋体" w:hAnsi="宋体" w:cs="宋体"/>
                <w:szCs w:val="21"/>
              </w:rPr>
            </w:pPr>
            <w:r>
              <w:rPr>
                <w:rFonts w:hint="eastAsia" w:ascii="宋体" w:hAnsi="宋体" w:cs="宋体"/>
                <w:szCs w:val="21"/>
              </w:rPr>
              <w:t>0.05%</w:t>
            </w:r>
          </w:p>
        </w:tc>
        <w:tc>
          <w:tcPr>
            <w:tcW w:w="1542" w:type="dxa"/>
          </w:tcPr>
          <w:p>
            <w:pPr>
              <w:jc w:val="right"/>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right"/>
              <w:rPr>
                <w:rFonts w:ascii="宋体" w:hAnsi="宋体" w:cs="宋体"/>
                <w:szCs w:val="21"/>
              </w:rPr>
            </w:pPr>
            <w:r>
              <w:rPr>
                <w:rFonts w:hint="eastAsia" w:ascii="宋体" w:hAnsi="宋体" w:cs="宋体"/>
                <w:szCs w:val="21"/>
              </w:rPr>
              <w:t>0.035%</w:t>
            </w:r>
          </w:p>
        </w:tc>
        <w:tc>
          <w:tcPr>
            <w:tcW w:w="1682" w:type="dxa"/>
          </w:tcPr>
          <w:p>
            <w:pPr>
              <w:jc w:val="right"/>
              <w:rPr>
                <w:rFonts w:ascii="宋体" w:hAnsi="宋体" w:cs="宋体"/>
                <w:szCs w:val="21"/>
              </w:rPr>
            </w:pPr>
            <w:r>
              <w:rPr>
                <w:rFonts w:hint="eastAsia" w:ascii="宋体" w:hAnsi="宋体" w:cs="宋体"/>
                <w:szCs w:val="21"/>
              </w:rPr>
              <w:t>0.035%</w:t>
            </w:r>
          </w:p>
        </w:tc>
        <w:tc>
          <w:tcPr>
            <w:tcW w:w="1542" w:type="dxa"/>
          </w:tcPr>
          <w:p>
            <w:pPr>
              <w:ind w:firstLine="105" w:firstLineChars="50"/>
              <w:jc w:val="right"/>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right"/>
              <w:rPr>
                <w:rFonts w:ascii="宋体" w:hAnsi="宋体" w:cs="宋体"/>
                <w:szCs w:val="21"/>
              </w:rPr>
            </w:pPr>
            <w:r>
              <w:rPr>
                <w:rFonts w:hint="eastAsia" w:ascii="宋体" w:hAnsi="宋体" w:cs="宋体"/>
                <w:szCs w:val="21"/>
              </w:rPr>
              <w:t>0.008%</w:t>
            </w:r>
          </w:p>
        </w:tc>
        <w:tc>
          <w:tcPr>
            <w:tcW w:w="1682" w:type="dxa"/>
          </w:tcPr>
          <w:p>
            <w:pPr>
              <w:ind w:firstLine="210" w:firstLineChars="100"/>
              <w:jc w:val="right"/>
              <w:rPr>
                <w:rFonts w:ascii="宋体" w:hAnsi="宋体" w:cs="宋体"/>
                <w:szCs w:val="21"/>
              </w:rPr>
            </w:pPr>
            <w:r>
              <w:rPr>
                <w:rFonts w:hint="eastAsia" w:ascii="宋体" w:hAnsi="宋体" w:cs="宋体"/>
                <w:szCs w:val="21"/>
              </w:rPr>
              <w:t>0.008%</w:t>
            </w:r>
          </w:p>
        </w:tc>
        <w:tc>
          <w:tcPr>
            <w:tcW w:w="1542" w:type="dxa"/>
          </w:tcPr>
          <w:p>
            <w:pPr>
              <w:ind w:firstLine="105" w:firstLineChars="50"/>
              <w:jc w:val="right"/>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right"/>
              <w:rPr>
                <w:rFonts w:ascii="宋体" w:hAnsi="宋体" w:cs="宋体"/>
                <w:szCs w:val="21"/>
              </w:rPr>
            </w:pPr>
            <w:r>
              <w:rPr>
                <w:rFonts w:hint="eastAsia" w:ascii="宋体" w:hAnsi="宋体" w:cs="宋体"/>
                <w:szCs w:val="21"/>
              </w:rPr>
              <w:t>0.006%</w:t>
            </w:r>
          </w:p>
        </w:tc>
        <w:tc>
          <w:tcPr>
            <w:tcW w:w="1682" w:type="dxa"/>
          </w:tcPr>
          <w:p>
            <w:pPr>
              <w:ind w:firstLine="210" w:firstLineChars="100"/>
              <w:jc w:val="right"/>
              <w:rPr>
                <w:rFonts w:ascii="宋体" w:hAnsi="宋体" w:cs="宋体"/>
                <w:szCs w:val="21"/>
              </w:rPr>
            </w:pPr>
            <w:r>
              <w:rPr>
                <w:rFonts w:hint="eastAsia" w:ascii="宋体" w:hAnsi="宋体" w:cs="宋体"/>
                <w:szCs w:val="21"/>
              </w:rPr>
              <w:t>0.006%</w:t>
            </w:r>
          </w:p>
        </w:tc>
        <w:tc>
          <w:tcPr>
            <w:tcW w:w="1542" w:type="dxa"/>
          </w:tcPr>
          <w:p>
            <w:pPr>
              <w:ind w:firstLine="105" w:firstLineChars="50"/>
              <w:jc w:val="right"/>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right"/>
              <w:rPr>
                <w:rFonts w:ascii="宋体" w:hAnsi="宋体" w:cs="宋体"/>
                <w:szCs w:val="21"/>
              </w:rPr>
            </w:pPr>
            <w:r>
              <w:rPr>
                <w:rFonts w:hint="eastAsia" w:ascii="宋体" w:hAnsi="宋体" w:cs="宋体"/>
                <w:szCs w:val="21"/>
              </w:rPr>
              <w:t>0.004%</w:t>
            </w:r>
          </w:p>
        </w:tc>
        <w:tc>
          <w:tcPr>
            <w:tcW w:w="1682" w:type="dxa"/>
          </w:tcPr>
          <w:p>
            <w:pPr>
              <w:ind w:firstLine="210" w:firstLineChars="100"/>
              <w:jc w:val="right"/>
              <w:rPr>
                <w:rFonts w:ascii="宋体" w:hAnsi="宋体" w:cs="宋体"/>
                <w:szCs w:val="21"/>
              </w:rPr>
            </w:pPr>
            <w:r>
              <w:rPr>
                <w:rFonts w:hint="eastAsia" w:ascii="宋体" w:hAnsi="宋体" w:cs="宋体"/>
                <w:szCs w:val="21"/>
              </w:rPr>
              <w:t>0.004%</w:t>
            </w:r>
          </w:p>
        </w:tc>
        <w:tc>
          <w:tcPr>
            <w:tcW w:w="1542" w:type="dxa"/>
          </w:tcPr>
          <w:p>
            <w:pPr>
              <w:ind w:firstLine="105" w:firstLineChars="50"/>
              <w:jc w:val="right"/>
              <w:rPr>
                <w:rFonts w:ascii="宋体" w:hAnsi="宋体" w:cs="宋体"/>
                <w:szCs w:val="21"/>
              </w:rPr>
            </w:pPr>
            <w:r>
              <w:rPr>
                <w:rFonts w:hint="eastAsia" w:ascii="宋体" w:hAnsi="宋体" w:cs="宋体"/>
                <w:szCs w:val="21"/>
              </w:rPr>
              <w:t>0.004%</w:t>
            </w:r>
          </w:p>
        </w:tc>
      </w:tr>
    </w:tbl>
    <w:p>
      <w:pPr>
        <w:widowControl/>
        <w:spacing w:line="500" w:lineRule="exact"/>
        <w:ind w:firstLine="421"/>
        <w:jc w:val="left"/>
        <w:rPr>
          <w:rFonts w:ascii="宋体" w:hAnsi="宋体" w:cs="宋体"/>
          <w:szCs w:val="21"/>
        </w:rPr>
      </w:pPr>
      <w:r>
        <w:rPr>
          <w:rFonts w:hint="eastAsia" w:ascii="宋体" w:hAnsi="宋体"/>
          <w:szCs w:val="21"/>
        </w:rPr>
        <w:t>注：按上述收费标准计算不足1500元的，按1500元计费</w:t>
      </w:r>
    </w:p>
    <w:p>
      <w:pPr>
        <w:spacing w:line="360" w:lineRule="auto"/>
        <w:ind w:firstLine="420" w:firstLineChars="200"/>
      </w:pPr>
      <w:r>
        <w:rPr>
          <w:rFonts w:hint="eastAsia" w:ascii="宋体" w:hAnsi="宋体" w:cs="宋体"/>
          <w:szCs w:val="21"/>
        </w:rPr>
        <w:t>中标人应在收到缴费通知后三日内按磋商文件要求缴纳服务费，完成缴费后请</w:t>
      </w:r>
      <w:r>
        <w:rPr>
          <w:rFonts w:ascii="宋体" w:hAnsi="宋体" w:cs="宋体"/>
          <w:szCs w:val="21"/>
        </w:rPr>
        <w:t>在</w:t>
      </w:r>
      <w:r>
        <w:rPr>
          <w:rFonts w:hint="eastAsia" w:ascii="宋体" w:hAnsi="宋体" w:cs="宋体"/>
          <w:szCs w:val="21"/>
        </w:rPr>
        <w:t>7</w:t>
      </w:r>
      <w:r>
        <w:rPr>
          <w:rFonts w:ascii="宋体" w:hAnsi="宋体" w:cs="宋体"/>
          <w:szCs w:val="21"/>
        </w:rPr>
        <w:t>个工作日内前来开具增值税发票，逾期按普票开具，不再开具专票。</w:t>
      </w:r>
    </w:p>
    <w:p>
      <w:pPr>
        <w:rPr>
          <w:rFonts w:cs="宋体"/>
        </w:rPr>
      </w:pPr>
      <w:bookmarkStart w:id="79" w:name="_Toc418517858"/>
      <w:bookmarkStart w:id="80" w:name="_Toc26993"/>
      <w:bookmarkStart w:id="81" w:name="_Toc15032"/>
      <w:bookmarkStart w:id="82" w:name="_Toc417655921"/>
      <w:bookmarkStart w:id="83" w:name="_Toc3764"/>
      <w:r>
        <w:rPr>
          <w:rFonts w:cs="宋体"/>
        </w:rPr>
        <w:t xml:space="preserve">    </w:t>
      </w:r>
      <w:bookmarkStart w:id="84" w:name="_Toc15512"/>
      <w:bookmarkStart w:id="85" w:name="_Toc6762"/>
      <w:bookmarkStart w:id="86" w:name="_Toc21769"/>
      <w:bookmarkStart w:id="87" w:name="_Toc10691"/>
      <w:bookmarkStart w:id="88" w:name="_Toc2498"/>
      <w:bookmarkStart w:id="89" w:name="_Toc4638"/>
      <w:bookmarkStart w:id="90" w:name="_Toc476584428"/>
      <w:r>
        <w:rPr>
          <w:rFonts w:hint="eastAsia" w:cs="宋体"/>
        </w:rPr>
        <w:t>29</w:t>
      </w:r>
      <w:r>
        <w:rPr>
          <w:rFonts w:cs="宋体"/>
        </w:rPr>
        <w:t>.5</w:t>
      </w:r>
      <w:r>
        <w:rPr>
          <w:rFonts w:hint="eastAsia" w:cs="宋体"/>
        </w:rPr>
        <w:t>、成交通知书</w:t>
      </w:r>
      <w:bookmarkEnd w:id="79"/>
      <w:bookmarkEnd w:id="80"/>
      <w:bookmarkEnd w:id="81"/>
      <w:bookmarkEnd w:id="82"/>
      <w:bookmarkEnd w:id="83"/>
      <w:bookmarkEnd w:id="84"/>
      <w:bookmarkEnd w:id="85"/>
      <w:bookmarkEnd w:id="86"/>
      <w:bookmarkEnd w:id="87"/>
      <w:bookmarkEnd w:id="88"/>
      <w:bookmarkEnd w:id="89"/>
      <w:bookmarkEnd w:id="90"/>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同时在安庆博物馆（http://www.aqbwg.cn/）、安庆市皖宜项目咨询管理有限公司（http://wyxmzx.com）公告成交结果。响应人如有质疑、投诉，必须在成交公告规定的质疑、投诉期内以书面形式向有关机构提出。</w:t>
      </w:r>
    </w:p>
    <w:p>
      <w:pPr>
        <w:spacing w:line="500" w:lineRule="exact"/>
        <w:ind w:firstLine="420"/>
        <w:jc w:val="left"/>
        <w:rPr>
          <w:rFonts w:ascii="宋体"/>
          <w:szCs w:val="21"/>
        </w:rPr>
      </w:pPr>
      <w:bookmarkStart w:id="91" w:name="_Toc54941338"/>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七、合同授予</w:t>
      </w:r>
      <w:bookmarkEnd w:id="91"/>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92" w:name="_Toc418517860"/>
      <w:bookmarkStart w:id="93" w:name="_Toc22183"/>
      <w:bookmarkStart w:id="94" w:name="_Toc476584429"/>
      <w:bookmarkStart w:id="95" w:name="_Toc3930"/>
      <w:bookmarkStart w:id="96" w:name="_Toc24860"/>
      <w:bookmarkStart w:id="97" w:name="_Toc18179"/>
      <w:bookmarkStart w:id="98" w:name="_Toc28577"/>
      <w:bookmarkStart w:id="99" w:name="_Toc417655923"/>
      <w:bookmarkStart w:id="100" w:name="_Toc16466"/>
      <w:bookmarkStart w:id="101" w:name="_Toc21358"/>
      <w:bookmarkStart w:id="102" w:name="_Toc15562"/>
      <w:bookmarkStart w:id="103" w:name="_Toc3632"/>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92"/>
      <w:bookmarkEnd w:id="93"/>
      <w:bookmarkEnd w:id="94"/>
      <w:bookmarkEnd w:id="95"/>
      <w:bookmarkEnd w:id="96"/>
      <w:bookmarkEnd w:id="97"/>
      <w:bookmarkEnd w:id="98"/>
      <w:bookmarkEnd w:id="99"/>
      <w:bookmarkEnd w:id="100"/>
      <w:bookmarkEnd w:id="101"/>
      <w:bookmarkEnd w:id="102"/>
      <w:bookmarkEnd w:id="103"/>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30.1.2、成交人在收到成交通知书按采购人通知与采购人签订合同。</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30.1.3、成交人拒绝与采购人签订合同的，采购人可以按照评审报告推荐的成交候选人名单排序，确定下一候选人为成交人，也可以重新开展采购活动。</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32、未尽事宜</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参照《政府采购竞争性磋商采购方式管理暂行办法》、《中华人民共和国政府采购法》、《中华人民共和国政府采购法实施条例》及其他有关法律法规规定执行。</w:t>
      </w:r>
    </w:p>
    <w:p>
      <w:pPr>
        <w:rPr>
          <w:rFonts w:ascii="宋体" w:cs="宋体"/>
          <w:b/>
          <w:bCs/>
          <w:snapToGrid w:val="0"/>
          <w:kern w:val="0"/>
          <w:sz w:val="32"/>
          <w:szCs w:val="32"/>
        </w:rPr>
      </w:pPr>
    </w:p>
    <w:p>
      <w:pPr>
        <w:rPr>
          <w:rFonts w:ascii="宋体" w:cs="宋体"/>
          <w:b/>
          <w:bCs/>
          <w:snapToGrid w:val="0"/>
          <w:kern w:val="0"/>
          <w:sz w:val="32"/>
          <w:szCs w:val="32"/>
        </w:rPr>
      </w:pPr>
      <w:r>
        <w:rPr>
          <w:rFonts w:ascii="宋体" w:cs="宋体"/>
          <w:b/>
          <w:bCs/>
          <w:snapToGrid w:val="0"/>
          <w:kern w:val="0"/>
          <w:sz w:val="32"/>
          <w:szCs w:val="32"/>
        </w:rPr>
        <w:br w:type="page"/>
      </w:r>
    </w:p>
    <w:p>
      <w:pPr>
        <w:pStyle w:val="3"/>
        <w:spacing w:before="62" w:beforeLines="20" w:after="62" w:afterLines="20" w:line="480" w:lineRule="exact"/>
        <w:ind w:firstLine="0" w:firstLineChars="0"/>
        <w:jc w:val="center"/>
        <w:rPr>
          <w:rFonts w:ascii="宋体" w:hAnsi="宋体"/>
          <w:bCs/>
          <w:sz w:val="24"/>
        </w:rPr>
      </w:pPr>
      <w:bookmarkStart w:id="104" w:name="_Toc54941339"/>
      <w:bookmarkStart w:id="105" w:name="_Toc260"/>
      <w:bookmarkStart w:id="106" w:name="_Toc13404"/>
      <w:r>
        <w:rPr>
          <w:rFonts w:hint="eastAsia" w:ascii="Arial" w:hAnsi="Arial"/>
          <w:kern w:val="2"/>
          <w:sz w:val="32"/>
          <w:szCs w:val="32"/>
        </w:rPr>
        <w:t>第三章</w:t>
      </w:r>
      <w:r>
        <w:rPr>
          <w:rFonts w:ascii="Arial" w:hAnsi="Arial"/>
          <w:kern w:val="2"/>
          <w:sz w:val="32"/>
          <w:szCs w:val="32"/>
        </w:rPr>
        <w:t xml:space="preserve">  </w:t>
      </w:r>
      <w:bookmarkStart w:id="107" w:name="_Toc439316879"/>
      <w:r>
        <w:rPr>
          <w:rFonts w:hint="eastAsia" w:ascii="Arial" w:hAnsi="Arial"/>
          <w:kern w:val="2"/>
          <w:sz w:val="32"/>
          <w:szCs w:val="32"/>
        </w:rPr>
        <w:t>货物</w:t>
      </w:r>
      <w:r>
        <w:rPr>
          <w:rFonts w:hint="eastAsia" w:ascii="Arial" w:hAnsi="Arial"/>
          <w:kern w:val="2"/>
          <w:sz w:val="32"/>
          <w:szCs w:val="32"/>
          <w:lang w:val="zh-CN"/>
        </w:rPr>
        <w:t>需求及技术要求</w:t>
      </w:r>
      <w:r>
        <w:rPr>
          <w:rFonts w:ascii="Arial" w:hAnsi="Arial"/>
          <w:kern w:val="2"/>
          <w:sz w:val="32"/>
          <w:szCs w:val="32"/>
          <w:lang w:val="zh-CN"/>
        </w:rPr>
        <w:t xml:space="preserve"> </w:t>
      </w:r>
      <w:bookmarkEnd w:id="104"/>
      <w:bookmarkEnd w:id="105"/>
      <w:bookmarkEnd w:id="106"/>
      <w:bookmarkEnd w:id="107"/>
    </w:p>
    <w:p>
      <w:pPr>
        <w:widowControl/>
        <w:spacing w:line="500" w:lineRule="exact"/>
        <w:ind w:firstLine="430"/>
        <w:jc w:val="left"/>
        <w:rPr>
          <w:rFonts w:ascii="宋体" w:hAnsi="宋体"/>
          <w:b/>
          <w:bCs/>
          <w:szCs w:val="21"/>
        </w:rPr>
      </w:pPr>
      <w:r>
        <w:rPr>
          <w:rFonts w:hint="eastAsia" w:ascii="宋体" w:hAnsi="宋体"/>
          <w:b/>
          <w:bCs/>
          <w:szCs w:val="21"/>
        </w:rPr>
        <w:t>为鼓励不同品牌的充分竞争，如某设备的某技术参数或要求属于个别品牌专有，则该技术参数及要求不具有限制性，供应商可对该参数或要求进行适当调整，但这种调整整体上要优于或相当于招标文件的相关要求，并说明调整理由，且该调整须经磋商小组审核认可。</w:t>
      </w:r>
    </w:p>
    <w:p>
      <w:pPr>
        <w:pStyle w:val="2"/>
        <w:spacing w:line="500" w:lineRule="exact"/>
        <w:ind w:firstLine="442" w:firstLineChars="200"/>
        <w:jc w:val="left"/>
        <w:rPr>
          <w:sz w:val="22"/>
          <w:szCs w:val="22"/>
        </w:rPr>
      </w:pPr>
      <w:r>
        <w:rPr>
          <w:rFonts w:hint="eastAsia"/>
          <w:sz w:val="22"/>
          <w:szCs w:val="22"/>
        </w:rPr>
        <w:t>1、在采购活动开始前没有获准采购进口产品而开展采购活动的，视同为拒绝采购进口产品。</w:t>
      </w:r>
    </w:p>
    <w:p>
      <w:pPr>
        <w:pStyle w:val="2"/>
        <w:spacing w:line="500" w:lineRule="exact"/>
        <w:ind w:firstLine="442" w:firstLineChars="200"/>
        <w:jc w:val="left"/>
        <w:rPr>
          <w:sz w:val="22"/>
          <w:szCs w:val="22"/>
        </w:rPr>
      </w:pPr>
      <w:r>
        <w:rPr>
          <w:rFonts w:hint="eastAsia"/>
          <w:sz w:val="22"/>
          <w:szCs w:val="22"/>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pStyle w:val="2"/>
        <w:spacing w:line="500" w:lineRule="exact"/>
        <w:ind w:firstLine="442" w:firstLineChars="200"/>
        <w:jc w:val="left"/>
      </w:pPr>
      <w:r>
        <w:rPr>
          <w:rFonts w:hint="eastAsia"/>
          <w:sz w:val="22"/>
          <w:szCs w:val="22"/>
        </w:rPr>
        <w:t>3、中标人提供的货物为进口产品的，供货时须向采购人提供所投进口产品的海关报关单等证明材料</w:t>
      </w:r>
      <w:r>
        <w:rPr>
          <w:rFonts w:hint="eastAsia"/>
        </w:rPr>
        <w:t>。</w:t>
      </w:r>
    </w:p>
    <w:p>
      <w:pPr>
        <w:numPr>
          <w:ilvl w:val="0"/>
          <w:numId w:val="7"/>
        </w:numPr>
      </w:pPr>
      <w:r>
        <w:rPr>
          <w:rFonts w:hint="eastAsia" w:hAnsi="宋体"/>
          <w:b/>
          <w:bCs/>
          <w:sz w:val="24"/>
        </w:rPr>
        <w:t>货物需求一览表</w:t>
      </w:r>
    </w:p>
    <w:tbl>
      <w:tblPr>
        <w:tblStyle w:val="60"/>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290"/>
        <w:gridCol w:w="5523"/>
        <w:gridCol w:w="627"/>
        <w:gridCol w:w="57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bookmarkStart w:id="108" w:name="OLE_LINK1"/>
            <w:r>
              <w:rPr>
                <w:rFonts w:hint="eastAsia" w:ascii="宋体" w:hAnsi="宋体" w:cs="宋体"/>
                <w:color w:val="000000"/>
                <w:kern w:val="0"/>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货物名称</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技术参数</w:t>
            </w: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522"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9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r>
              <w:rPr>
                <w:rFonts w:hint="eastAsia" w:ascii="宋体" w:hAnsi="宋体" w:cs="宋体"/>
                <w:color w:val="000000"/>
                <w:kern w:val="0"/>
                <w:szCs w:val="21"/>
              </w:rPr>
              <w:t>X射线安全检查设备</w:t>
            </w:r>
          </w:p>
          <w:p>
            <w:pPr>
              <w:widowControl/>
              <w:rPr>
                <w:rFonts w:ascii="宋体" w:hAnsi="宋体" w:cs="宋体"/>
                <w:color w:val="000000"/>
                <w:kern w:val="0"/>
                <w:szCs w:val="21"/>
              </w:rPr>
            </w:pPr>
            <w:r>
              <w:rPr>
                <w:rFonts w:hint="eastAsia" w:ascii="宋体" w:hAnsi="宋体" w:cs="宋体"/>
                <w:color w:val="000000"/>
                <w:kern w:val="0"/>
                <w:szCs w:val="21"/>
              </w:rPr>
              <w:t>（新馆）</w:t>
            </w:r>
          </w:p>
        </w:tc>
        <w:tc>
          <w:tcPr>
            <w:tcW w:w="55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kern w:val="0"/>
                <w:szCs w:val="21"/>
              </w:rPr>
            </w:pPr>
            <w:r>
              <w:rPr>
                <w:rFonts w:hint="eastAsia" w:ascii="宋体" w:hAnsi="宋体" w:cs="宋体"/>
                <w:b/>
                <w:kern w:val="0"/>
                <w:szCs w:val="21"/>
              </w:rPr>
              <w:t>产品参数：</w:t>
            </w:r>
          </w:p>
          <w:p>
            <w:pPr>
              <w:widowControl/>
              <w:jc w:val="left"/>
              <w:rPr>
                <w:rFonts w:hint="eastAsia" w:ascii="宋体" w:hAnsi="宋体" w:cs="宋体"/>
                <w:kern w:val="0"/>
                <w:szCs w:val="21"/>
              </w:rPr>
            </w:pPr>
            <w:r>
              <w:rPr>
                <w:rFonts w:hint="eastAsia" w:ascii="宋体" w:hAnsi="宋体" w:cs="宋体"/>
                <w:kern w:val="0"/>
                <w:szCs w:val="21"/>
              </w:rPr>
              <w:t xml:space="preserve">通道尺寸： 655mm (宽)×505mm (高)  </w:t>
            </w:r>
          </w:p>
          <w:p>
            <w:pPr>
              <w:widowControl/>
              <w:jc w:val="left"/>
              <w:rPr>
                <w:rFonts w:hint="eastAsia" w:ascii="宋体" w:hAnsi="宋体" w:cs="宋体"/>
                <w:kern w:val="0"/>
                <w:szCs w:val="21"/>
              </w:rPr>
            </w:pPr>
            <w:r>
              <w:rPr>
                <w:rFonts w:hint="eastAsia" w:ascii="宋体" w:hAnsi="宋体" w:cs="宋体"/>
                <w:kern w:val="0"/>
                <w:szCs w:val="21"/>
              </w:rPr>
              <w:t>传送速度： 0.20m/s</w:t>
            </w:r>
          </w:p>
          <w:p>
            <w:pPr>
              <w:widowControl/>
              <w:jc w:val="left"/>
              <w:rPr>
                <w:rFonts w:ascii="宋体" w:hAnsi="宋体" w:cs="宋体"/>
                <w:kern w:val="0"/>
                <w:szCs w:val="21"/>
              </w:rPr>
            </w:pPr>
            <w:r>
              <w:rPr>
                <w:rFonts w:hint="eastAsia" w:ascii="宋体" w:hAnsi="宋体" w:cs="宋体"/>
                <w:kern w:val="0"/>
                <w:szCs w:val="21"/>
              </w:rPr>
              <w:t>传送带高度： 645mm</w:t>
            </w:r>
          </w:p>
          <w:p>
            <w:pPr>
              <w:widowControl/>
              <w:jc w:val="left"/>
              <w:rPr>
                <w:rFonts w:hint="eastAsia" w:ascii="宋体" w:hAnsi="宋体" w:cs="宋体"/>
                <w:kern w:val="0"/>
                <w:szCs w:val="21"/>
              </w:rPr>
            </w:pPr>
            <w:r>
              <w:rPr>
                <w:rFonts w:hint="eastAsia" w:ascii="宋体" w:hAnsi="宋体" w:cs="宋体"/>
                <w:kern w:val="0"/>
                <w:szCs w:val="21"/>
              </w:rPr>
              <w:t xml:space="preserve">最大载荷： 160Kg（均匀分布） </w:t>
            </w:r>
          </w:p>
          <w:p>
            <w:pPr>
              <w:widowControl/>
              <w:jc w:val="left"/>
              <w:rPr>
                <w:rFonts w:ascii="宋体" w:hAnsi="宋体" w:cs="宋体"/>
                <w:kern w:val="0"/>
                <w:szCs w:val="21"/>
              </w:rPr>
            </w:pPr>
            <w:r>
              <w:rPr>
                <w:rFonts w:hint="eastAsia" w:ascii="宋体" w:hAnsi="宋体" w:cs="宋体"/>
                <w:kern w:val="0"/>
                <w:szCs w:val="21"/>
              </w:rPr>
              <w:t>线分辨力： 40AWG（直径0.0787mm金属丝）&gt;44SWG</w:t>
            </w:r>
          </w:p>
          <w:p>
            <w:pPr>
              <w:widowControl/>
              <w:jc w:val="left"/>
              <w:rPr>
                <w:rFonts w:hint="eastAsia" w:ascii="宋体" w:hAnsi="宋体" w:cs="宋体"/>
                <w:kern w:val="0"/>
                <w:szCs w:val="21"/>
              </w:rPr>
            </w:pPr>
            <w:r>
              <w:rPr>
                <w:rFonts w:hint="eastAsia" w:ascii="宋体" w:hAnsi="宋体" w:cs="宋体"/>
                <w:kern w:val="0"/>
                <w:szCs w:val="21"/>
              </w:rPr>
              <w:t xml:space="preserve">空间分辨力： 水平Ф0.8mm  垂直Ф0.8mm </w:t>
            </w:r>
          </w:p>
          <w:p>
            <w:pPr>
              <w:widowControl/>
              <w:jc w:val="left"/>
              <w:rPr>
                <w:rFonts w:ascii="宋体" w:hAnsi="宋体" w:cs="宋体"/>
                <w:kern w:val="0"/>
                <w:szCs w:val="21"/>
              </w:rPr>
            </w:pPr>
            <w:r>
              <w:rPr>
                <w:rFonts w:hint="eastAsia" w:asciiTheme="majorEastAsia" w:hAnsiTheme="majorEastAsia" w:eastAsiaTheme="majorEastAsia" w:cstheme="majorEastAsia"/>
                <w:sz w:val="21"/>
                <w:szCs w:val="21"/>
              </w:rPr>
              <w:t>★</w:t>
            </w:r>
            <w:r>
              <w:rPr>
                <w:rFonts w:hint="eastAsia" w:ascii="宋体" w:hAnsi="宋体" w:cs="宋体"/>
                <w:kern w:val="0"/>
                <w:szCs w:val="21"/>
              </w:rPr>
              <w:t xml:space="preserve">穿透分辨力： 38AWG（0.102mm)  </w:t>
            </w:r>
            <w:r>
              <w:rPr>
                <w:rFonts w:hint="eastAsia" w:asciiTheme="majorEastAsia" w:hAnsiTheme="majorEastAsia" w:eastAsiaTheme="majorEastAsia" w:cstheme="majorEastAsia"/>
                <w:sz w:val="21"/>
                <w:szCs w:val="21"/>
              </w:rPr>
              <w:t>（需提供具有CNAS或者CMA标识的检测（检验）报告佐证本条技术参数）</w:t>
            </w:r>
            <w:r>
              <w:rPr>
                <w:rFonts w:hint="eastAsia" w:ascii="宋体" w:hAnsi="宋体" w:cs="宋体"/>
                <w:kern w:val="0"/>
                <w:szCs w:val="21"/>
              </w:rPr>
              <w:t xml:space="preserve"> </w:t>
            </w:r>
          </w:p>
          <w:p>
            <w:pPr>
              <w:widowControl/>
              <w:jc w:val="left"/>
              <w:rPr>
                <w:rFonts w:hint="eastAsia" w:ascii="宋体" w:hAnsi="宋体" w:cs="宋体"/>
                <w:kern w:val="0"/>
                <w:szCs w:val="21"/>
              </w:rPr>
            </w:pPr>
            <w:r>
              <w:rPr>
                <w:rFonts w:hint="eastAsia" w:asciiTheme="majorEastAsia" w:hAnsiTheme="majorEastAsia" w:eastAsiaTheme="majorEastAsia" w:cstheme="majorEastAsia"/>
                <w:sz w:val="21"/>
                <w:szCs w:val="21"/>
              </w:rPr>
              <w:t>★</w:t>
            </w:r>
            <w:r>
              <w:rPr>
                <w:rFonts w:hint="eastAsia" w:ascii="宋体" w:hAnsi="宋体" w:cs="宋体"/>
                <w:kern w:val="0"/>
                <w:szCs w:val="21"/>
              </w:rPr>
              <w:t xml:space="preserve">穿透力(钢厚)： 48mm钢板 </w:t>
            </w:r>
            <w:r>
              <w:rPr>
                <w:rFonts w:hint="eastAsia" w:asciiTheme="majorEastAsia" w:hAnsiTheme="majorEastAsia" w:eastAsiaTheme="majorEastAsia" w:cstheme="majorEastAsia"/>
                <w:sz w:val="21"/>
                <w:szCs w:val="21"/>
              </w:rPr>
              <w:t>（需提供具有CNAS或者CMA标识的检测（检验）报告佐证本条技术参数）</w:t>
            </w:r>
          </w:p>
          <w:p>
            <w:pPr>
              <w:widowControl/>
              <w:jc w:val="left"/>
              <w:rPr>
                <w:rFonts w:ascii="宋体" w:hAnsi="宋体" w:cs="宋体"/>
                <w:kern w:val="0"/>
                <w:szCs w:val="21"/>
              </w:rPr>
            </w:pPr>
            <w:r>
              <w:rPr>
                <w:rFonts w:hint="eastAsia" w:ascii="宋体" w:hAnsi="宋体" w:cs="宋体"/>
                <w:kern w:val="0"/>
                <w:szCs w:val="21"/>
              </w:rPr>
              <w:t xml:space="preserve">显示器： 17寸彩色显示器 </w:t>
            </w:r>
          </w:p>
          <w:p>
            <w:pPr>
              <w:widowControl/>
              <w:jc w:val="left"/>
              <w:rPr>
                <w:rFonts w:ascii="宋体" w:hAnsi="宋体" w:cs="宋体"/>
                <w:kern w:val="0"/>
                <w:szCs w:val="21"/>
              </w:rPr>
            </w:pPr>
            <w:r>
              <w:rPr>
                <w:rFonts w:hint="eastAsia" w:ascii="宋体" w:hAnsi="宋体" w:cs="宋体"/>
                <w:kern w:val="0"/>
                <w:szCs w:val="21"/>
              </w:rPr>
              <w:t>分辨率达：1280*1024</w:t>
            </w:r>
          </w:p>
          <w:p>
            <w:pPr>
              <w:widowControl/>
              <w:jc w:val="left"/>
              <w:rPr>
                <w:rFonts w:ascii="宋体" w:hAnsi="宋体" w:cs="宋体"/>
                <w:kern w:val="0"/>
                <w:szCs w:val="21"/>
              </w:rPr>
            </w:pPr>
            <w:r>
              <w:rPr>
                <w:rFonts w:hint="eastAsia" w:ascii="宋体" w:hAnsi="宋体" w:cs="宋体"/>
                <w:b/>
                <w:bCs/>
                <w:kern w:val="0"/>
                <w:szCs w:val="21"/>
              </w:rPr>
              <w:t>X射线发生器</w:t>
            </w:r>
            <w:r>
              <w:rPr>
                <w:rFonts w:hint="eastAsia"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阳极电压：140-160Kv 可调  冷却方式 / 运行周期 油冷 / 100%</w:t>
            </w:r>
          </w:p>
          <w:p>
            <w:pPr>
              <w:widowControl/>
              <w:jc w:val="left"/>
              <w:rPr>
                <w:rFonts w:ascii="宋体" w:hAnsi="宋体" w:cs="宋体"/>
                <w:kern w:val="0"/>
                <w:szCs w:val="21"/>
              </w:rPr>
            </w:pPr>
            <w:r>
              <w:rPr>
                <w:rFonts w:hint="eastAsia" w:asciiTheme="majorEastAsia" w:hAnsiTheme="majorEastAsia" w:eastAsiaTheme="majorEastAsia" w:cstheme="majorEastAsia"/>
                <w:sz w:val="21"/>
                <w:szCs w:val="21"/>
              </w:rPr>
              <w:t>★</w:t>
            </w:r>
            <w:r>
              <w:rPr>
                <w:rFonts w:hint="eastAsia" w:ascii="宋体" w:hAnsi="宋体" w:cs="宋体"/>
                <w:kern w:val="0"/>
                <w:szCs w:val="21"/>
              </w:rPr>
              <w:t xml:space="preserve">单次检查剂量：0.83μGy </w:t>
            </w:r>
            <w:r>
              <w:rPr>
                <w:rFonts w:hint="eastAsia" w:asciiTheme="majorEastAsia" w:hAnsiTheme="majorEastAsia" w:eastAsiaTheme="majorEastAsia" w:cstheme="majorEastAsia"/>
                <w:sz w:val="21"/>
                <w:szCs w:val="21"/>
              </w:rPr>
              <w:t>（需提供具有CNAS或者CMA标识的检测（检验）报告佐证本条技术参数）</w:t>
            </w:r>
          </w:p>
          <w:p>
            <w:pPr>
              <w:widowControl/>
              <w:jc w:val="left"/>
              <w:rPr>
                <w:rFonts w:ascii="宋体" w:hAnsi="宋体" w:cs="宋体"/>
                <w:b/>
                <w:bCs/>
                <w:kern w:val="0"/>
                <w:szCs w:val="21"/>
              </w:rPr>
            </w:pPr>
            <w:r>
              <w:rPr>
                <w:rFonts w:hint="eastAsia" w:ascii="宋体" w:hAnsi="宋体" w:cs="宋体"/>
                <w:b/>
                <w:bCs/>
                <w:kern w:val="0"/>
                <w:szCs w:val="21"/>
              </w:rPr>
              <w:t xml:space="preserve">图像处理系统 </w:t>
            </w:r>
          </w:p>
          <w:p>
            <w:pPr>
              <w:widowControl/>
              <w:jc w:val="left"/>
              <w:rPr>
                <w:rFonts w:ascii="宋体" w:hAnsi="宋体" w:cs="宋体"/>
                <w:kern w:val="0"/>
                <w:szCs w:val="21"/>
              </w:rPr>
            </w:pPr>
            <w:r>
              <w:rPr>
                <w:rFonts w:hint="eastAsia" w:ascii="宋体" w:hAnsi="宋体" w:cs="宋体"/>
                <w:kern w:val="0"/>
                <w:szCs w:val="21"/>
              </w:rPr>
              <w:t>图像处理    彩色/黑白，有机物/无机物剔除，可变吸收率，超级增强，图像反色，高能/低能  穿透，伪彩色等  物质分辨   有机物：橙色无机物：蓝色混合物和轻金属：绿色   选区与放大  任意选区，2～128倍放大，支持连续放大</w:t>
            </w:r>
          </w:p>
          <w:p>
            <w:pPr>
              <w:widowControl/>
              <w:jc w:val="left"/>
              <w:rPr>
                <w:rFonts w:ascii="宋体" w:hAnsi="宋体" w:cs="宋体"/>
                <w:kern w:val="0"/>
                <w:szCs w:val="21"/>
              </w:rPr>
            </w:pPr>
            <w:r>
              <w:rPr>
                <w:rFonts w:hint="eastAsia" w:ascii="宋体" w:hAnsi="宋体" w:cs="宋体"/>
                <w:kern w:val="0"/>
                <w:szCs w:val="21"/>
              </w:rPr>
              <w:t>图像回拉 ：50幅已检查图像回放   存储能力 ： 至少1000000幅图像</w:t>
            </w:r>
          </w:p>
          <w:p>
            <w:pPr>
              <w:widowControl/>
              <w:jc w:val="left"/>
              <w:rPr>
                <w:rFonts w:ascii="宋体" w:hAnsi="宋体" w:cs="宋体"/>
                <w:b/>
                <w:bCs/>
                <w:kern w:val="0"/>
                <w:szCs w:val="21"/>
              </w:rPr>
            </w:pPr>
            <w:r>
              <w:rPr>
                <w:rFonts w:hint="eastAsia" w:ascii="宋体" w:hAnsi="宋体" w:cs="宋体"/>
                <w:b/>
                <w:bCs/>
                <w:kern w:val="0"/>
                <w:szCs w:val="21"/>
              </w:rPr>
              <w:t xml:space="preserve">辐射安全 </w:t>
            </w:r>
          </w:p>
          <w:p>
            <w:pPr>
              <w:widowControl/>
              <w:jc w:val="left"/>
              <w:rPr>
                <w:rFonts w:ascii="宋体" w:hAnsi="宋体" w:cs="宋体"/>
                <w:kern w:val="0"/>
                <w:szCs w:val="21"/>
              </w:rPr>
            </w:pPr>
            <w:r>
              <w:rPr>
                <w:rFonts w:hint="eastAsia" w:ascii="宋体" w:hAnsi="宋体" w:cs="宋体"/>
                <w:kern w:val="0"/>
                <w:szCs w:val="21"/>
              </w:rPr>
              <w:t>射线泄漏剂量率：0.01μGy/h（距离外壳5cm处），符合所有国际国内健康安全标准；胶卷安全：对符合ASA/ISO1600标准胶卷安全</w:t>
            </w:r>
          </w:p>
          <w:p>
            <w:pPr>
              <w:widowControl/>
              <w:jc w:val="left"/>
              <w:rPr>
                <w:rFonts w:ascii="宋体" w:hAnsi="宋体" w:cs="宋体"/>
                <w:b/>
                <w:bCs/>
                <w:kern w:val="0"/>
                <w:szCs w:val="21"/>
              </w:rPr>
            </w:pPr>
            <w:r>
              <w:rPr>
                <w:rFonts w:hint="eastAsia" w:ascii="宋体" w:hAnsi="宋体" w:cs="宋体"/>
                <w:b/>
                <w:bCs/>
                <w:kern w:val="0"/>
                <w:szCs w:val="21"/>
              </w:rPr>
              <w:t>系统功能</w:t>
            </w:r>
          </w:p>
          <w:p>
            <w:pPr>
              <w:widowControl/>
              <w:jc w:val="left"/>
              <w:rPr>
                <w:rFonts w:ascii="宋体" w:hAnsi="宋体" w:cs="宋体"/>
                <w:kern w:val="0"/>
                <w:szCs w:val="21"/>
              </w:rPr>
            </w:pPr>
            <w:r>
              <w:rPr>
                <w:rFonts w:hint="eastAsia" w:ascii="宋体" w:hAnsi="宋体" w:cs="宋体"/>
                <w:kern w:val="0"/>
                <w:szCs w:val="21"/>
              </w:rPr>
              <w:t>高密度报警，爆炸物/毒品辅助检查，危险品图像插入；</w:t>
            </w:r>
          </w:p>
          <w:p>
            <w:pPr>
              <w:widowControl/>
              <w:jc w:val="left"/>
              <w:rPr>
                <w:rFonts w:ascii="宋体" w:hAnsi="宋体" w:cs="宋体"/>
                <w:kern w:val="0"/>
                <w:szCs w:val="21"/>
              </w:rPr>
            </w:pPr>
            <w:r>
              <w:rPr>
                <w:rFonts w:hint="eastAsia" w:ascii="宋体" w:hAnsi="宋体" w:cs="宋体"/>
                <w:kern w:val="0"/>
                <w:szCs w:val="21"/>
              </w:rPr>
              <w:t>日期/时间显示，行李计数，用户管理，系统工作计时，射线出 束计时，上电自检，图像备份和检索，维护诊断，双向扫描。</w:t>
            </w:r>
          </w:p>
          <w:p>
            <w:pPr>
              <w:widowControl/>
              <w:jc w:val="left"/>
              <w:rPr>
                <w:rFonts w:ascii="宋体" w:hAnsi="宋体" w:cs="宋体"/>
                <w:b/>
                <w:bCs/>
                <w:kern w:val="0"/>
                <w:szCs w:val="21"/>
              </w:rPr>
            </w:pPr>
            <w:r>
              <w:rPr>
                <w:rFonts w:hint="eastAsia" w:ascii="宋体" w:hAnsi="宋体" w:cs="宋体"/>
                <w:b/>
                <w:bCs/>
                <w:kern w:val="0"/>
                <w:szCs w:val="21"/>
              </w:rPr>
              <w:t>选配功能</w:t>
            </w:r>
          </w:p>
          <w:p>
            <w:pPr>
              <w:widowControl/>
              <w:jc w:val="left"/>
              <w:rPr>
                <w:rFonts w:ascii="宋体" w:hAnsi="宋体" w:cs="宋体"/>
                <w:kern w:val="0"/>
                <w:szCs w:val="21"/>
              </w:rPr>
            </w:pPr>
            <w:r>
              <w:rPr>
                <w:rFonts w:hint="eastAsia" w:ascii="宋体" w:hAnsi="宋体" w:cs="宋体"/>
                <w:kern w:val="0"/>
                <w:szCs w:val="21"/>
              </w:rPr>
              <w:t>视频监控系统/LED液晶屏显示/绿色节能环保装置/电子称重系统等</w:t>
            </w:r>
          </w:p>
          <w:p>
            <w:pPr>
              <w:widowControl/>
              <w:jc w:val="left"/>
              <w:rPr>
                <w:rFonts w:ascii="宋体" w:hAnsi="宋体" w:cs="宋体"/>
                <w:kern w:val="0"/>
                <w:szCs w:val="21"/>
              </w:rPr>
            </w:pPr>
            <w:r>
              <w:rPr>
                <w:rFonts w:hint="eastAsia" w:ascii="宋体" w:hAnsi="宋体" w:cs="宋体"/>
                <w:b/>
                <w:bCs/>
                <w:kern w:val="0"/>
                <w:szCs w:val="21"/>
              </w:rPr>
              <w:t>安装数据</w:t>
            </w:r>
            <w:r>
              <w:rPr>
                <w:rFonts w:hint="eastAsia"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外形尺寸    约2096mm（长）×966mm (宽)×1345mm (高)</w:t>
            </w:r>
          </w:p>
          <w:p>
            <w:pPr>
              <w:widowControl/>
              <w:jc w:val="left"/>
              <w:rPr>
                <w:rFonts w:ascii="宋体" w:hAnsi="宋体" w:cs="宋体"/>
                <w:kern w:val="0"/>
                <w:szCs w:val="21"/>
              </w:rPr>
            </w:pPr>
            <w:r>
              <w:rPr>
                <w:rFonts w:hint="eastAsia" w:ascii="宋体" w:hAnsi="宋体" w:cs="宋体"/>
                <w:kern w:val="0"/>
                <w:szCs w:val="21"/>
              </w:rPr>
              <w:t>操作台尺寸  1380mm（长）×747mm (宽)×1200mm (高)</w:t>
            </w:r>
          </w:p>
          <w:p>
            <w:pPr>
              <w:widowControl/>
              <w:jc w:val="left"/>
              <w:rPr>
                <w:rFonts w:ascii="宋体" w:hAnsi="宋体" w:cs="宋体"/>
                <w:kern w:val="0"/>
                <w:szCs w:val="21"/>
              </w:rPr>
            </w:pPr>
            <w:r>
              <w:rPr>
                <w:rFonts w:hint="eastAsia" w:ascii="宋体" w:hAnsi="宋体" w:cs="宋体"/>
                <w:kern w:val="0"/>
                <w:szCs w:val="21"/>
              </w:rPr>
              <w:t>重量  600Kg</w:t>
            </w:r>
          </w:p>
          <w:p>
            <w:pPr>
              <w:widowControl/>
              <w:jc w:val="left"/>
              <w:rPr>
                <w:rFonts w:ascii="宋体" w:hAnsi="宋体" w:cs="宋体"/>
                <w:kern w:val="0"/>
                <w:szCs w:val="21"/>
              </w:rPr>
            </w:pPr>
            <w:r>
              <w:rPr>
                <w:rFonts w:hint="eastAsia" w:ascii="宋体" w:hAnsi="宋体" w:cs="宋体"/>
                <w:kern w:val="0"/>
                <w:szCs w:val="21"/>
              </w:rPr>
              <w:t>储藏温度 / 相对湿度 -40℃±3℃～+60℃±2℃ / 5%～95%（不结露）</w:t>
            </w:r>
          </w:p>
          <w:p>
            <w:pPr>
              <w:widowControl/>
              <w:jc w:val="left"/>
              <w:rPr>
                <w:rFonts w:ascii="宋体" w:hAnsi="宋体" w:cs="宋体"/>
                <w:kern w:val="0"/>
                <w:szCs w:val="21"/>
              </w:rPr>
            </w:pPr>
            <w:r>
              <w:rPr>
                <w:rFonts w:hint="eastAsia" w:ascii="宋体" w:hAnsi="宋体" w:cs="宋体"/>
                <w:kern w:val="0"/>
                <w:szCs w:val="21"/>
              </w:rPr>
              <w:t>运行温度 / 相对湿度 0℃±3℃～+40℃±2℃ / 5%～95%（不结露）</w:t>
            </w:r>
          </w:p>
          <w:p>
            <w:pPr>
              <w:widowControl/>
              <w:jc w:val="left"/>
              <w:rPr>
                <w:rFonts w:ascii="宋体" w:hAnsi="宋体" w:cs="宋体"/>
                <w:kern w:val="0"/>
                <w:szCs w:val="21"/>
              </w:rPr>
            </w:pPr>
            <w:r>
              <w:rPr>
                <w:rFonts w:hint="eastAsia" w:ascii="宋体" w:hAnsi="宋体" w:cs="宋体"/>
                <w:kern w:val="0"/>
                <w:szCs w:val="21"/>
              </w:rPr>
              <w:t>电源  AC220伏(-15%～+10%)，50Hz±3Hz</w:t>
            </w:r>
          </w:p>
          <w:p>
            <w:pPr>
              <w:widowControl/>
              <w:jc w:val="left"/>
              <w:rPr>
                <w:rFonts w:ascii="宋体" w:hAnsi="宋体" w:cs="宋体"/>
                <w:kern w:val="0"/>
                <w:szCs w:val="21"/>
              </w:rPr>
            </w:pPr>
            <w:r>
              <w:rPr>
                <w:rFonts w:hint="eastAsia" w:ascii="宋体" w:hAnsi="宋体" w:cs="宋体"/>
                <w:kern w:val="0"/>
                <w:szCs w:val="21"/>
              </w:rPr>
              <w:t>功耗 0.6KvA</w:t>
            </w:r>
          </w:p>
          <w:p>
            <w:pPr>
              <w:widowControl/>
              <w:jc w:val="left"/>
              <w:rPr>
                <w:rFonts w:ascii="宋体" w:hAnsi="宋体" w:cs="宋体"/>
                <w:kern w:val="0"/>
                <w:szCs w:val="21"/>
              </w:rPr>
            </w:pPr>
            <w:r>
              <w:rPr>
                <w:rFonts w:hint="eastAsia" w:ascii="宋体" w:hAnsi="宋体" w:cs="宋体"/>
                <w:kern w:val="0"/>
                <w:szCs w:val="21"/>
              </w:rPr>
              <w:t>噪音级  50.7dB(A)</w:t>
            </w:r>
          </w:p>
        </w:tc>
        <w:tc>
          <w:tcPr>
            <w:tcW w:w="62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46" w:type="dxa"/>
            <w:tcBorders>
              <w:top w:val="single" w:color="auto" w:sz="4" w:space="0"/>
              <w:left w:val="single" w:color="auto" w:sz="4" w:space="0"/>
              <w:bottom w:val="single" w:color="auto" w:sz="4" w:space="0"/>
              <w:right w:val="single" w:color="auto" w:sz="4" w:space="0"/>
            </w:tcBorders>
          </w:tcPr>
          <w:p>
            <w:pPr>
              <w:pStyle w:val="275"/>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2"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90"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通过式热成像测温型安检门</w:t>
            </w:r>
          </w:p>
          <w:p>
            <w:pPr>
              <w:widowControl/>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kern w:val="0"/>
                <w:szCs w:val="21"/>
              </w:rPr>
              <w:t>（新馆）</w:t>
            </w:r>
          </w:p>
        </w:tc>
        <w:tc>
          <w:tcPr>
            <w:tcW w:w="55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一、产品参数</w:t>
            </w:r>
          </w:p>
          <w:p>
            <w:pPr>
              <w:widowControl/>
              <w:jc w:val="left"/>
              <w:rPr>
                <w:rFonts w:ascii="宋体" w:hAnsi="宋体" w:cs="宋体"/>
                <w:kern w:val="0"/>
                <w:szCs w:val="21"/>
              </w:rPr>
            </w:pPr>
            <w:r>
              <w:rPr>
                <w:rFonts w:hint="eastAsia" w:ascii="宋体" w:hAnsi="宋体" w:cs="宋体"/>
                <w:kern w:val="0"/>
                <w:szCs w:val="21"/>
              </w:rPr>
              <w:t xml:space="preserve">外形尺寸：2220mm×590mm×820mm </w:t>
            </w:r>
          </w:p>
          <w:p>
            <w:pPr>
              <w:widowControl/>
              <w:jc w:val="left"/>
              <w:rPr>
                <w:rFonts w:ascii="宋体" w:hAnsi="宋体" w:cs="宋体"/>
                <w:kern w:val="0"/>
                <w:szCs w:val="21"/>
              </w:rPr>
            </w:pPr>
            <w:r>
              <w:rPr>
                <w:rFonts w:hint="eastAsia" w:ascii="宋体" w:hAnsi="宋体" w:cs="宋体"/>
                <w:kern w:val="0"/>
                <w:szCs w:val="21"/>
              </w:rPr>
              <w:t>通道尺寸：2000mm×700mm</w:t>
            </w:r>
          </w:p>
          <w:p>
            <w:pPr>
              <w:widowControl/>
              <w:jc w:val="left"/>
              <w:rPr>
                <w:rFonts w:ascii="宋体" w:hAnsi="宋体" w:cs="宋体"/>
                <w:kern w:val="0"/>
                <w:szCs w:val="21"/>
              </w:rPr>
            </w:pPr>
            <w:r>
              <w:rPr>
                <w:rFonts w:hint="eastAsia" w:ascii="宋体" w:hAnsi="宋体" w:cs="宋体"/>
                <w:kern w:val="0"/>
                <w:szCs w:val="21"/>
              </w:rPr>
              <w:t>电源：AC85-264V/47.5-60Hz</w:t>
            </w:r>
          </w:p>
          <w:p>
            <w:pPr>
              <w:widowControl/>
              <w:jc w:val="left"/>
              <w:rPr>
                <w:rFonts w:ascii="宋体" w:hAnsi="宋体" w:cs="宋体"/>
                <w:kern w:val="0"/>
                <w:szCs w:val="21"/>
              </w:rPr>
            </w:pPr>
            <w:r>
              <w:rPr>
                <w:rFonts w:hint="eastAsia" w:ascii="宋体" w:hAnsi="宋体" w:cs="宋体"/>
                <w:kern w:val="0"/>
                <w:szCs w:val="21"/>
              </w:rPr>
              <w:t>功耗： 15W</w:t>
            </w:r>
          </w:p>
          <w:p>
            <w:pPr>
              <w:widowControl/>
              <w:jc w:val="left"/>
              <w:rPr>
                <w:rFonts w:ascii="宋体" w:hAnsi="宋体" w:cs="宋体"/>
                <w:kern w:val="0"/>
                <w:szCs w:val="21"/>
              </w:rPr>
            </w:pPr>
            <w:r>
              <w:rPr>
                <w:rFonts w:hint="eastAsia" w:ascii="宋体" w:hAnsi="宋体" w:cs="宋体"/>
                <w:kern w:val="0"/>
                <w:szCs w:val="21"/>
              </w:rPr>
              <w:t>工作环境： -20℃~38℃</w:t>
            </w:r>
          </w:p>
          <w:p>
            <w:pPr>
              <w:widowControl/>
              <w:jc w:val="left"/>
              <w:rPr>
                <w:rFonts w:ascii="宋体" w:hAnsi="宋体" w:cs="宋体"/>
                <w:kern w:val="0"/>
                <w:szCs w:val="21"/>
              </w:rPr>
            </w:pPr>
            <w:r>
              <w:rPr>
                <w:rFonts w:hint="eastAsia" w:ascii="宋体" w:hAnsi="宋体" w:cs="宋体"/>
                <w:kern w:val="0"/>
                <w:szCs w:val="21"/>
              </w:rPr>
              <w:t>整机重量： 64KG</w:t>
            </w:r>
          </w:p>
          <w:p>
            <w:pPr>
              <w:widowControl/>
              <w:jc w:val="left"/>
              <w:rPr>
                <w:rFonts w:ascii="宋体" w:hAnsi="宋体" w:cs="宋体"/>
                <w:kern w:val="0"/>
                <w:szCs w:val="21"/>
              </w:rPr>
            </w:pPr>
            <w:r>
              <w:rPr>
                <w:rFonts w:hint="eastAsia" w:ascii="宋体" w:hAnsi="宋体" w:cs="宋体"/>
                <w:kern w:val="0"/>
                <w:szCs w:val="21"/>
              </w:rPr>
              <w:t>二、技术要求：</w:t>
            </w:r>
          </w:p>
          <w:p>
            <w:pPr>
              <w:widowControl/>
              <w:jc w:val="left"/>
              <w:rPr>
                <w:rFonts w:ascii="宋体" w:hAnsi="宋体" w:cs="宋体"/>
                <w:kern w:val="0"/>
                <w:szCs w:val="21"/>
              </w:rPr>
            </w:pPr>
            <w:r>
              <w:rPr>
                <w:rFonts w:hint="eastAsia" w:ascii="宋体" w:hAnsi="宋体" w:cs="宋体"/>
                <w:kern w:val="0"/>
                <w:szCs w:val="21"/>
              </w:rPr>
              <w:t>1、探测灵敏度范围：应能从低到高方便地调节，灵敏度调节大于等于50个级别；</w:t>
            </w:r>
          </w:p>
          <w:p>
            <w:pPr>
              <w:widowControl/>
              <w:jc w:val="left"/>
              <w:rPr>
                <w:rFonts w:ascii="宋体" w:hAnsi="宋体" w:cs="宋体"/>
                <w:kern w:val="0"/>
                <w:szCs w:val="21"/>
              </w:rPr>
            </w:pPr>
            <w:r>
              <w:rPr>
                <w:rFonts w:hint="eastAsia" w:ascii="宋体" w:hAnsi="宋体" w:cs="宋体"/>
                <w:kern w:val="0"/>
                <w:szCs w:val="21"/>
              </w:rPr>
              <w:t>2、最低探测高度，测试人携带一元硬币在安检门离地高度1CM的位置以接近1m/s的速度通过，安检门能报警；</w:t>
            </w:r>
          </w:p>
          <w:p>
            <w:pPr>
              <w:widowControl/>
              <w:jc w:val="left"/>
              <w:rPr>
                <w:rFonts w:ascii="宋体" w:hAnsi="宋体" w:cs="宋体"/>
                <w:kern w:val="0"/>
                <w:szCs w:val="21"/>
              </w:rPr>
            </w:pPr>
            <w:r>
              <w:rPr>
                <w:rFonts w:hint="eastAsia" w:ascii="宋体" w:hAnsi="宋体" w:cs="宋体"/>
                <w:kern w:val="0"/>
                <w:szCs w:val="21"/>
              </w:rPr>
              <w:t>报警声音：最大声强应大于等于106db</w:t>
            </w:r>
          </w:p>
          <w:p>
            <w:pPr>
              <w:widowControl/>
              <w:jc w:val="left"/>
              <w:rPr>
                <w:rFonts w:ascii="宋体" w:hAnsi="宋体" w:cs="宋体"/>
                <w:kern w:val="0"/>
                <w:szCs w:val="21"/>
              </w:rPr>
            </w:pPr>
            <w:r>
              <w:rPr>
                <w:rFonts w:hint="eastAsia" w:ascii="宋体" w:hAnsi="宋体" w:cs="宋体"/>
                <w:kern w:val="0"/>
                <w:szCs w:val="21"/>
              </w:rPr>
              <w:t>3、工作环境：-20摄氏度～38摄氏度；</w:t>
            </w:r>
          </w:p>
          <w:p>
            <w:pPr>
              <w:widowControl/>
              <w:jc w:val="left"/>
              <w:rPr>
                <w:rFonts w:ascii="宋体" w:hAnsi="宋体" w:cs="宋体"/>
                <w:kern w:val="0"/>
                <w:szCs w:val="21"/>
              </w:rPr>
            </w:pPr>
            <w:r>
              <w:rPr>
                <w:rFonts w:hint="eastAsia" w:ascii="宋体" w:hAnsi="宋体" w:cs="宋体"/>
                <w:kern w:val="0"/>
                <w:szCs w:val="21"/>
              </w:rPr>
              <w:t>4、通道尺寸不小于：1980mm（高）x710mm（宽）x910mm（深）；</w:t>
            </w:r>
          </w:p>
          <w:p>
            <w:pPr>
              <w:widowControl/>
              <w:jc w:val="left"/>
              <w:rPr>
                <w:rFonts w:ascii="宋体" w:hAnsi="宋体" w:cs="宋体"/>
                <w:kern w:val="0"/>
                <w:szCs w:val="21"/>
              </w:rPr>
            </w:pPr>
            <w:r>
              <w:rPr>
                <w:rFonts w:hint="eastAsia" w:ascii="宋体" w:hAnsi="宋体" w:cs="宋体"/>
                <w:kern w:val="0"/>
                <w:szCs w:val="21"/>
              </w:rPr>
              <w:t>5、 功率不大于：8瓦；</w:t>
            </w:r>
          </w:p>
          <w:p>
            <w:pPr>
              <w:widowControl/>
              <w:jc w:val="left"/>
              <w:rPr>
                <w:rFonts w:ascii="宋体" w:hAnsi="宋体" w:cs="宋体"/>
                <w:kern w:val="0"/>
                <w:szCs w:val="21"/>
              </w:rPr>
            </w:pPr>
            <w:r>
              <w:rPr>
                <w:rFonts w:hint="eastAsia" w:ascii="宋体" w:hAnsi="宋体" w:cs="宋体"/>
                <w:kern w:val="0"/>
                <w:szCs w:val="21"/>
              </w:rPr>
              <w:t>6、 最低探测高度，测试人携带一元硬币在安检门离地高度1CM的位置以接近1m/s的速度通过，安检门能报警；</w:t>
            </w:r>
          </w:p>
          <w:p>
            <w:pPr>
              <w:widowControl/>
              <w:jc w:val="left"/>
              <w:rPr>
                <w:rFonts w:ascii="宋体" w:hAnsi="宋体" w:cs="宋体"/>
                <w:kern w:val="0"/>
                <w:szCs w:val="21"/>
              </w:rPr>
            </w:pPr>
            <w:r>
              <w:rPr>
                <w:rFonts w:hint="eastAsia" w:ascii="宋体" w:hAnsi="宋体" w:cs="宋体"/>
                <w:kern w:val="0"/>
                <w:szCs w:val="21"/>
              </w:rPr>
              <w:t>磁感应强度：应小于等于8uT；</w:t>
            </w:r>
          </w:p>
          <w:p>
            <w:pPr>
              <w:widowControl/>
              <w:jc w:val="left"/>
              <w:rPr>
                <w:rFonts w:ascii="宋体" w:hAnsi="宋体" w:cs="宋体"/>
                <w:kern w:val="0"/>
                <w:szCs w:val="21"/>
              </w:rPr>
            </w:pPr>
            <w:r>
              <w:rPr>
                <w:rFonts w:hint="eastAsia" w:ascii="宋体" w:hAnsi="宋体" w:cs="宋体"/>
                <w:kern w:val="0"/>
                <w:szCs w:val="21"/>
              </w:rPr>
              <w:t>7、 外壳防护等级：符合IP53。</w:t>
            </w:r>
          </w:p>
          <w:p>
            <w:pPr>
              <w:widowControl/>
              <w:jc w:val="left"/>
              <w:rPr>
                <w:rFonts w:ascii="宋体" w:hAnsi="宋体" w:cs="宋体"/>
                <w:kern w:val="0"/>
                <w:szCs w:val="21"/>
              </w:rPr>
            </w:pPr>
            <w:r>
              <w:rPr>
                <w:rFonts w:hint="eastAsia" w:ascii="宋体" w:hAnsi="宋体" w:cs="宋体"/>
                <w:kern w:val="0"/>
                <w:szCs w:val="21"/>
              </w:rPr>
              <w:t>三、安检门主要功能要求</w:t>
            </w:r>
          </w:p>
          <w:p>
            <w:pPr>
              <w:widowControl/>
              <w:jc w:val="left"/>
              <w:rPr>
                <w:rFonts w:ascii="宋体" w:hAnsi="宋体" w:cs="宋体"/>
                <w:kern w:val="0"/>
                <w:szCs w:val="21"/>
              </w:rPr>
            </w:pPr>
            <w:r>
              <w:rPr>
                <w:rFonts w:hint="eastAsia" w:ascii="宋体" w:hAnsi="宋体" w:cs="宋体"/>
                <w:kern w:val="0"/>
                <w:szCs w:val="21"/>
              </w:rPr>
              <w:t>1、 灵敏度高，可调范围广，3cm的回形针以1m/s的速度通过时，安检门能报警</w:t>
            </w:r>
          </w:p>
          <w:p>
            <w:pPr>
              <w:widowControl/>
              <w:jc w:val="left"/>
              <w:rPr>
                <w:rFonts w:ascii="宋体" w:hAnsi="宋体" w:cs="宋体"/>
                <w:kern w:val="0"/>
                <w:szCs w:val="21"/>
              </w:rPr>
            </w:pPr>
            <w:r>
              <w:rPr>
                <w:rFonts w:hint="eastAsia" w:ascii="宋体" w:hAnsi="宋体" w:cs="宋体"/>
                <w:kern w:val="0"/>
                <w:szCs w:val="21"/>
              </w:rPr>
              <w:t>2、设备具有自学习功能，进入该模式后，对需要报警、或不报警的金属样品进行自动采样学习，完成后系统可自动对金属含量大于该样品的金属报警；</w:t>
            </w:r>
          </w:p>
          <w:p>
            <w:pPr>
              <w:widowControl/>
              <w:jc w:val="left"/>
              <w:rPr>
                <w:rFonts w:ascii="宋体" w:hAnsi="宋体" w:cs="宋体"/>
                <w:kern w:val="0"/>
                <w:szCs w:val="21"/>
              </w:rPr>
            </w:pPr>
            <w:r>
              <w:rPr>
                <w:rFonts w:hint="eastAsia" w:ascii="宋体" w:hAnsi="宋体" w:cs="宋体"/>
                <w:kern w:val="0"/>
                <w:szCs w:val="21"/>
              </w:rPr>
              <w:t>3、分区功能检查，可自由分区，当多个区域有报警物时，对应的区域多应该显示报警，设置分区报警灵敏度时，对应的区位灯应亮</w:t>
            </w:r>
          </w:p>
          <w:p>
            <w:pPr>
              <w:widowControl/>
              <w:jc w:val="left"/>
              <w:rPr>
                <w:rFonts w:ascii="宋体" w:hAnsi="宋体" w:cs="宋体"/>
                <w:kern w:val="0"/>
                <w:szCs w:val="21"/>
              </w:rPr>
            </w:pPr>
            <w:r>
              <w:rPr>
                <w:rFonts w:hint="eastAsia" w:ascii="宋体" w:hAnsi="宋体" w:cs="宋体"/>
                <w:kern w:val="0"/>
                <w:szCs w:val="21"/>
              </w:rPr>
              <w:t>4、智能防区功能检查：对于人员信息预先录入到系统的人，进入安检门时应能正常金属检查，对于人员信息未预先录入到系统的人，进入安检门时，安检门能语音提示“陌生人闯入”，并有灯光警示；</w:t>
            </w:r>
          </w:p>
          <w:p>
            <w:pPr>
              <w:widowControl/>
              <w:jc w:val="left"/>
              <w:rPr>
                <w:rFonts w:ascii="宋体" w:hAnsi="宋体" w:cs="宋体"/>
                <w:kern w:val="0"/>
                <w:szCs w:val="21"/>
              </w:rPr>
            </w:pPr>
            <w:r>
              <w:rPr>
                <w:rFonts w:hint="eastAsia" w:ascii="宋体" w:hAnsi="宋体" w:cs="宋体"/>
                <w:kern w:val="0"/>
                <w:szCs w:val="21"/>
              </w:rPr>
              <w:t>5、数据存储与查询功能：应能存储每天通过的人数，报警次数，报警信息等数据，应能查询历史记录，存储数据不小于100000条</w:t>
            </w:r>
          </w:p>
          <w:p>
            <w:pPr>
              <w:widowControl/>
              <w:jc w:val="left"/>
              <w:rPr>
                <w:rFonts w:ascii="宋体" w:hAnsi="宋体" w:cs="宋体"/>
                <w:kern w:val="0"/>
                <w:szCs w:val="21"/>
              </w:rPr>
            </w:pPr>
            <w:r>
              <w:rPr>
                <w:rFonts w:hint="eastAsia" w:ascii="宋体" w:hAnsi="宋体" w:cs="宋体"/>
                <w:kern w:val="0"/>
                <w:szCs w:val="21"/>
              </w:rPr>
              <w:t>6、分区报警功能：可设置多个报警区域，当多个区域有报警物时，对应的区域都应显示报警；</w:t>
            </w:r>
          </w:p>
          <w:p>
            <w:pPr>
              <w:widowControl/>
              <w:jc w:val="left"/>
              <w:rPr>
                <w:rFonts w:ascii="宋体" w:hAnsi="宋体" w:cs="宋体"/>
                <w:kern w:val="0"/>
                <w:szCs w:val="21"/>
              </w:rPr>
            </w:pPr>
            <w:r>
              <w:rPr>
                <w:rFonts w:hint="eastAsia" w:ascii="宋体" w:hAnsi="宋体" w:cs="宋体"/>
                <w:kern w:val="0"/>
                <w:szCs w:val="21"/>
              </w:rPr>
              <w:t>7、飞物报警功能：在飞物报警模式下，将5毛硬币抛过金属安检门，安检门应报警，试验100次，准确率不小于90%；</w:t>
            </w:r>
          </w:p>
          <w:p>
            <w:pPr>
              <w:widowControl/>
              <w:jc w:val="left"/>
              <w:rPr>
                <w:rFonts w:ascii="宋体" w:hAnsi="宋体" w:cs="宋体"/>
                <w:kern w:val="0"/>
                <w:szCs w:val="21"/>
              </w:rPr>
            </w:pPr>
            <w:r>
              <w:rPr>
                <w:rFonts w:hint="eastAsia" w:ascii="宋体" w:hAnsi="宋体" w:cs="宋体"/>
                <w:kern w:val="0"/>
                <w:szCs w:val="21"/>
              </w:rPr>
              <w:t>8、最低探测高度，测试人携带一元硬币在安检门离地高度1CM的位置以接近1m/s的速度通过，安检门能报警；</w:t>
            </w:r>
          </w:p>
          <w:p>
            <w:pPr>
              <w:widowControl/>
              <w:jc w:val="left"/>
              <w:rPr>
                <w:rFonts w:ascii="宋体" w:hAnsi="宋体" w:cs="宋体"/>
                <w:kern w:val="0"/>
                <w:szCs w:val="21"/>
              </w:rPr>
            </w:pPr>
            <w:r>
              <w:rPr>
                <w:rFonts w:hint="eastAsia" w:ascii="宋体" w:hAnsi="宋体" w:cs="宋体"/>
                <w:kern w:val="0"/>
                <w:szCs w:val="21"/>
              </w:rPr>
              <w:t>9、抗干扰能力强，可在负责电磁环境中使用，至少内置30组频率可选设置，以避免相邻门相互干扰；</w:t>
            </w:r>
          </w:p>
          <w:p>
            <w:pPr>
              <w:widowControl/>
              <w:jc w:val="left"/>
              <w:rPr>
                <w:rFonts w:ascii="宋体" w:hAnsi="宋体" w:cs="宋体"/>
                <w:kern w:val="0"/>
                <w:szCs w:val="21"/>
              </w:rPr>
            </w:pPr>
            <w:r>
              <w:rPr>
                <w:rFonts w:hint="eastAsia" w:ascii="宋体" w:hAnsi="宋体" w:cs="宋体"/>
                <w:kern w:val="0"/>
                <w:szCs w:val="21"/>
              </w:rPr>
              <w:t>10、有色、黑色金属探测模式检测，应可在有色或黑色金属探测模式间切换；</w:t>
            </w:r>
          </w:p>
          <w:p>
            <w:pPr>
              <w:widowControl/>
              <w:jc w:val="left"/>
              <w:rPr>
                <w:rFonts w:ascii="宋体" w:hAnsi="宋体" w:cs="宋体"/>
                <w:kern w:val="0"/>
                <w:szCs w:val="21"/>
              </w:rPr>
            </w:pPr>
            <w:r>
              <w:rPr>
                <w:rFonts w:hint="eastAsia" w:ascii="宋体" w:hAnsi="宋体" w:cs="宋体"/>
                <w:kern w:val="0"/>
                <w:szCs w:val="21"/>
              </w:rPr>
              <w:t>11、能够设置报警声音，包括音量、音长、音调；</w:t>
            </w:r>
          </w:p>
          <w:p>
            <w:pPr>
              <w:widowControl/>
              <w:jc w:val="left"/>
              <w:rPr>
                <w:rFonts w:ascii="宋体" w:hAnsi="宋体" w:cs="宋体"/>
                <w:kern w:val="0"/>
                <w:szCs w:val="21"/>
              </w:rPr>
            </w:pPr>
            <w:r>
              <w:rPr>
                <w:rFonts w:hint="eastAsia" w:ascii="宋体" w:hAnsi="宋体" w:cs="宋体"/>
                <w:kern w:val="0"/>
                <w:szCs w:val="21"/>
              </w:rPr>
              <w:t>12、具有自我诊断功能：内置自我诊断程序，开机自检，出错有错误提示；</w:t>
            </w:r>
          </w:p>
          <w:p>
            <w:pPr>
              <w:widowControl/>
              <w:jc w:val="left"/>
              <w:rPr>
                <w:rFonts w:ascii="宋体" w:hAnsi="宋体" w:cs="宋体"/>
                <w:kern w:val="0"/>
                <w:szCs w:val="21"/>
              </w:rPr>
            </w:pPr>
            <w:r>
              <w:rPr>
                <w:rFonts w:hint="eastAsia" w:ascii="宋体" w:hAnsi="宋体" w:cs="宋体"/>
                <w:kern w:val="0"/>
                <w:szCs w:val="21"/>
              </w:rPr>
              <w:t>13、总灵敏度及各分区灵敏度应可调；</w:t>
            </w:r>
          </w:p>
          <w:p>
            <w:pPr>
              <w:widowControl/>
              <w:jc w:val="left"/>
              <w:rPr>
                <w:rFonts w:ascii="宋体" w:hAnsi="宋体" w:cs="宋体"/>
                <w:kern w:val="0"/>
                <w:szCs w:val="21"/>
              </w:rPr>
            </w:pPr>
            <w:r>
              <w:rPr>
                <w:rFonts w:hint="eastAsia" w:ascii="宋体" w:hAnsi="宋体" w:cs="宋体"/>
                <w:kern w:val="0"/>
                <w:szCs w:val="21"/>
              </w:rPr>
              <w:t>14、应预设多种工作模式或工作场景，每种模式或场景对应一套参数设置值；</w:t>
            </w:r>
          </w:p>
          <w:p>
            <w:pPr>
              <w:widowControl/>
              <w:jc w:val="left"/>
              <w:rPr>
                <w:rFonts w:ascii="宋体" w:hAnsi="宋体" w:cs="宋体"/>
                <w:kern w:val="0"/>
                <w:szCs w:val="21"/>
              </w:rPr>
            </w:pPr>
            <w:r>
              <w:rPr>
                <w:rFonts w:hint="eastAsia" w:ascii="宋体" w:hAnsi="宋体" w:cs="宋体"/>
                <w:kern w:val="0"/>
                <w:szCs w:val="21"/>
              </w:rPr>
              <w:t>15、具有密码保护功能，能设置至少两级用户权限；</w:t>
            </w:r>
          </w:p>
          <w:p>
            <w:pPr>
              <w:widowControl/>
              <w:jc w:val="left"/>
              <w:rPr>
                <w:rFonts w:ascii="宋体" w:hAnsi="宋体" w:cs="宋体"/>
                <w:kern w:val="0"/>
                <w:szCs w:val="21"/>
              </w:rPr>
            </w:pPr>
            <w:r>
              <w:rPr>
                <w:rFonts w:hint="eastAsia" w:ascii="宋体" w:hAnsi="宋体" w:cs="宋体"/>
                <w:kern w:val="0"/>
                <w:szCs w:val="21"/>
              </w:rPr>
              <w:t>16、设备电源线可以任意从门的左、右两面下部连接，以方便现场合理布线；</w:t>
            </w:r>
          </w:p>
          <w:p>
            <w:pPr>
              <w:widowControl/>
              <w:jc w:val="left"/>
              <w:rPr>
                <w:rFonts w:ascii="宋体" w:hAnsi="宋体" w:cs="宋体"/>
                <w:kern w:val="0"/>
                <w:szCs w:val="21"/>
              </w:rPr>
            </w:pPr>
            <w:r>
              <w:rPr>
                <w:rFonts w:hint="eastAsia" w:ascii="宋体" w:hAnsi="宋体" w:cs="宋体"/>
                <w:kern w:val="0"/>
                <w:szCs w:val="21"/>
              </w:rPr>
              <w:t>四、测温功能要求：</w:t>
            </w:r>
          </w:p>
          <w:p>
            <w:pPr>
              <w:widowControl/>
              <w:jc w:val="left"/>
              <w:rPr>
                <w:rFonts w:ascii="宋体" w:hAnsi="宋体" w:cs="宋体"/>
                <w:kern w:val="0"/>
                <w:szCs w:val="21"/>
              </w:rPr>
            </w:pPr>
            <w:r>
              <w:rPr>
                <w:rFonts w:hint="eastAsia" w:ascii="宋体" w:hAnsi="宋体" w:cs="宋体"/>
                <w:kern w:val="0"/>
                <w:szCs w:val="21"/>
              </w:rPr>
              <w:t>1、测温模块：采用热成像摄像头进行非接触式测温；</w:t>
            </w:r>
          </w:p>
          <w:p>
            <w:pPr>
              <w:widowControl/>
              <w:jc w:val="left"/>
              <w:rPr>
                <w:rFonts w:ascii="宋体" w:hAnsi="宋体" w:cs="宋体"/>
                <w:kern w:val="0"/>
                <w:szCs w:val="21"/>
              </w:rPr>
            </w:pPr>
            <w:r>
              <w:rPr>
                <w:rFonts w:hint="eastAsia" w:ascii="宋体" w:hAnsi="宋体" w:cs="宋体"/>
                <w:kern w:val="0"/>
                <w:szCs w:val="21"/>
              </w:rPr>
              <w:t xml:space="preserve">  2、测温报警功能：当测量到通过人员的温度超过预先设定的报警阀值时，系统应有声光及语言报警；</w:t>
            </w:r>
          </w:p>
          <w:p>
            <w:pPr>
              <w:widowControl/>
              <w:jc w:val="left"/>
              <w:rPr>
                <w:rFonts w:ascii="宋体" w:hAnsi="宋体" w:cs="宋体"/>
                <w:kern w:val="0"/>
                <w:szCs w:val="21"/>
              </w:rPr>
            </w:pPr>
            <w:r>
              <w:rPr>
                <w:rFonts w:hint="eastAsia" w:ascii="宋体" w:hAnsi="宋体" w:cs="宋体"/>
                <w:kern w:val="0"/>
                <w:szCs w:val="21"/>
              </w:rPr>
              <w:t xml:space="preserve">  3、测温记录功能：能自动记录通过人员的可见光图像和红外测温图像及测量到的温度值；</w:t>
            </w:r>
          </w:p>
          <w:p>
            <w:pPr>
              <w:widowControl/>
              <w:jc w:val="left"/>
              <w:rPr>
                <w:rFonts w:ascii="宋体" w:hAnsi="宋体" w:cs="宋体"/>
                <w:kern w:val="0"/>
                <w:szCs w:val="21"/>
              </w:rPr>
            </w:pPr>
            <w:r>
              <w:rPr>
                <w:rFonts w:hint="eastAsia" w:ascii="宋体" w:hAnsi="宋体" w:cs="宋体"/>
                <w:kern w:val="0"/>
                <w:szCs w:val="21"/>
              </w:rPr>
              <w:t xml:space="preserve">  4、测温报警响应时间：测到体温异常后，警示报警响应时间应不大于1秒；</w:t>
            </w:r>
          </w:p>
          <w:p>
            <w:pPr>
              <w:widowControl/>
              <w:jc w:val="left"/>
              <w:rPr>
                <w:rFonts w:ascii="宋体" w:hAnsi="宋体" w:cs="宋体"/>
                <w:kern w:val="0"/>
                <w:szCs w:val="21"/>
              </w:rPr>
            </w:pPr>
            <w:r>
              <w:rPr>
                <w:rFonts w:hint="eastAsia" w:ascii="宋体" w:hAnsi="宋体" w:cs="宋体"/>
                <w:kern w:val="0"/>
                <w:szCs w:val="21"/>
              </w:rPr>
              <w:t xml:space="preserve">  5、温度显示范围：在任何显示模式下，设备的温度显示范围不窄于28-42℃ ；</w:t>
            </w:r>
          </w:p>
          <w:p>
            <w:pPr>
              <w:widowControl/>
              <w:jc w:val="left"/>
              <w:rPr>
                <w:rFonts w:ascii="宋体" w:hAnsi="宋体" w:cs="宋体"/>
                <w:kern w:val="0"/>
                <w:szCs w:val="21"/>
              </w:rPr>
            </w:pPr>
            <w:r>
              <w:rPr>
                <w:rFonts w:hint="eastAsia" w:ascii="宋体" w:hAnsi="宋体" w:cs="宋体"/>
                <w:kern w:val="0"/>
                <w:szCs w:val="21"/>
              </w:rPr>
              <w:t xml:space="preserve">  6、实验室测温误差：设备在校准模式下，在28℃~33℃与37℃~42℃范围内，测量误差小于等于0.3℃</w:t>
            </w:r>
          </w:p>
          <w:p>
            <w:pPr>
              <w:widowControl/>
              <w:jc w:val="left"/>
              <w:rPr>
                <w:rFonts w:ascii="宋体" w:hAnsi="宋体" w:cs="宋体"/>
                <w:kern w:val="0"/>
                <w:szCs w:val="21"/>
              </w:rPr>
            </w:pPr>
            <w:r>
              <w:rPr>
                <w:rFonts w:hint="eastAsia" w:ascii="宋体" w:hAnsi="宋体" w:cs="宋体"/>
                <w:kern w:val="0"/>
                <w:szCs w:val="21"/>
              </w:rPr>
              <w:t>7、热成像定焦镜头6mm</w:t>
            </w:r>
          </w:p>
          <w:p>
            <w:pPr>
              <w:widowControl/>
              <w:jc w:val="left"/>
              <w:rPr>
                <w:rFonts w:ascii="宋体" w:hAnsi="宋体" w:cs="宋体"/>
                <w:kern w:val="0"/>
                <w:szCs w:val="21"/>
              </w:rPr>
            </w:pPr>
            <w:r>
              <w:rPr>
                <w:rFonts w:hint="eastAsia" w:ascii="宋体" w:hAnsi="宋体" w:cs="宋体"/>
                <w:kern w:val="0"/>
                <w:szCs w:val="21"/>
              </w:rPr>
              <w:t>8、像元尺寸12μm，热灵敏度(NETD)：≤60mK（@25℃，F#=1.0）</w:t>
            </w:r>
          </w:p>
          <w:p>
            <w:pPr>
              <w:widowControl/>
              <w:jc w:val="left"/>
              <w:rPr>
                <w:rFonts w:ascii="宋体" w:hAnsi="宋体" w:cs="宋体"/>
                <w:kern w:val="0"/>
                <w:szCs w:val="21"/>
              </w:rPr>
            </w:pPr>
            <w:r>
              <w:rPr>
                <w:rFonts w:hint="eastAsia" w:ascii="宋体" w:hAnsi="宋体" w:cs="宋体"/>
                <w:kern w:val="0"/>
                <w:szCs w:val="21"/>
              </w:rPr>
              <w:t>9、分辨率 256*192，高灵敏度探测器，</w:t>
            </w:r>
          </w:p>
          <w:p>
            <w:pPr>
              <w:widowControl/>
              <w:jc w:val="left"/>
              <w:rPr>
                <w:rFonts w:ascii="宋体" w:hAnsi="宋体" w:cs="宋体"/>
                <w:kern w:val="0"/>
                <w:szCs w:val="21"/>
              </w:rPr>
            </w:pPr>
            <w:r>
              <w:rPr>
                <w:rFonts w:hint="eastAsia" w:ascii="宋体" w:hAnsi="宋体" w:cs="宋体"/>
                <w:kern w:val="0"/>
                <w:szCs w:val="21"/>
              </w:rPr>
              <w:t>10、最大输出帧率：可见光：1920x1080@25fps，热成像：256x192@25fps</w:t>
            </w:r>
          </w:p>
          <w:p>
            <w:pPr>
              <w:widowControl/>
              <w:jc w:val="left"/>
              <w:rPr>
                <w:rFonts w:ascii="宋体" w:hAnsi="宋体" w:cs="宋体"/>
                <w:kern w:val="0"/>
                <w:szCs w:val="21"/>
              </w:rPr>
            </w:pPr>
            <w:r>
              <w:rPr>
                <w:rFonts w:hint="eastAsia" w:ascii="宋体" w:hAnsi="宋体" w:cs="宋体"/>
                <w:kern w:val="0"/>
                <w:szCs w:val="21"/>
              </w:rPr>
              <w:t>11、HDMI直接输出预览视频，实时显示通行人数和异常温度</w:t>
            </w:r>
          </w:p>
          <w:p>
            <w:pPr>
              <w:widowControl/>
              <w:jc w:val="left"/>
              <w:rPr>
                <w:rFonts w:ascii="宋体" w:hAnsi="宋体" w:cs="宋体"/>
                <w:kern w:val="0"/>
                <w:szCs w:val="21"/>
              </w:rPr>
            </w:pPr>
            <w:r>
              <w:rPr>
                <w:rFonts w:hint="eastAsia" w:ascii="宋体" w:hAnsi="宋体" w:cs="宋体"/>
                <w:kern w:val="0"/>
                <w:szCs w:val="21"/>
              </w:rPr>
              <w:t>12、支持SD卡存储数据记录，可联网导出数据</w:t>
            </w:r>
          </w:p>
          <w:p>
            <w:pPr>
              <w:widowControl/>
              <w:jc w:val="left"/>
              <w:rPr>
                <w:rFonts w:ascii="宋体" w:hAnsi="宋体" w:cs="宋体"/>
                <w:kern w:val="0"/>
                <w:szCs w:val="21"/>
              </w:rPr>
            </w:pPr>
            <w:r>
              <w:rPr>
                <w:rFonts w:hint="eastAsia" w:ascii="宋体" w:hAnsi="宋体" w:cs="宋体"/>
                <w:kern w:val="0"/>
                <w:szCs w:val="21"/>
              </w:rPr>
              <w:t>13、内嵌深度学习算法，可同时对20个人进行检测和测温</w:t>
            </w:r>
          </w:p>
        </w:tc>
        <w:tc>
          <w:tcPr>
            <w:tcW w:w="62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46" w:type="dxa"/>
            <w:tcBorders>
              <w:top w:val="single" w:color="auto" w:sz="4" w:space="0"/>
              <w:left w:val="single" w:color="auto" w:sz="4" w:space="0"/>
              <w:bottom w:val="single" w:color="auto" w:sz="4" w:space="0"/>
              <w:right w:val="single" w:color="auto" w:sz="4" w:space="0"/>
            </w:tcBorders>
          </w:tcPr>
          <w:p>
            <w:pPr>
              <w:pStyle w:val="27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9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智能商用服务机器人(大屏）</w:t>
            </w:r>
          </w:p>
        </w:tc>
        <w:tc>
          <w:tcPr>
            <w:tcW w:w="55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CPU：RK3399, 六核 64位超强CPU, 主频高达2 GHz</w:t>
            </w:r>
          </w:p>
          <w:p>
            <w:pPr>
              <w:widowControl/>
              <w:jc w:val="left"/>
              <w:rPr>
                <w:rFonts w:ascii="宋体" w:hAnsi="宋体" w:cs="宋体"/>
                <w:color w:val="000000"/>
                <w:kern w:val="0"/>
                <w:szCs w:val="21"/>
              </w:rPr>
            </w:pPr>
            <w:r>
              <w:rPr>
                <w:rFonts w:hint="eastAsia" w:ascii="宋体" w:hAnsi="宋体" w:cs="宋体"/>
                <w:color w:val="000000"/>
                <w:kern w:val="0"/>
                <w:szCs w:val="21"/>
              </w:rPr>
              <w:t>机身尺寸： 约54*56*152cm  机身重量：约70kg</w:t>
            </w:r>
          </w:p>
          <w:p>
            <w:pPr>
              <w:widowControl/>
              <w:jc w:val="left"/>
              <w:rPr>
                <w:rFonts w:ascii="宋体" w:hAnsi="宋体" w:cs="宋体"/>
                <w:color w:val="000000"/>
                <w:kern w:val="0"/>
                <w:szCs w:val="21"/>
              </w:rPr>
            </w:pPr>
            <w:r>
              <w:rPr>
                <w:rFonts w:hint="eastAsia" w:ascii="宋体" w:hAnsi="宋体" w:cs="宋体"/>
                <w:color w:val="000000"/>
                <w:kern w:val="0"/>
                <w:szCs w:val="21"/>
              </w:rPr>
              <w:t>表情屏：7 英寸 屏幕尺寸：27 英寸 分辨率：1920*1080</w:t>
            </w:r>
          </w:p>
          <w:p>
            <w:pPr>
              <w:widowControl/>
              <w:jc w:val="left"/>
              <w:rPr>
                <w:rFonts w:ascii="宋体" w:hAnsi="宋体" w:cs="宋体"/>
                <w:color w:val="000000"/>
                <w:kern w:val="0"/>
                <w:szCs w:val="21"/>
              </w:rPr>
            </w:pPr>
            <w:r>
              <w:rPr>
                <w:rFonts w:hint="eastAsia" w:ascii="宋体" w:hAnsi="宋体" w:cs="宋体"/>
                <w:color w:val="000000"/>
                <w:kern w:val="0"/>
                <w:szCs w:val="21"/>
              </w:rPr>
              <w:t>系统：Android7.1</w:t>
            </w:r>
          </w:p>
          <w:p>
            <w:pPr>
              <w:widowControl/>
              <w:jc w:val="left"/>
              <w:rPr>
                <w:rFonts w:ascii="宋体" w:hAnsi="宋体" w:cs="宋体"/>
                <w:color w:val="000000"/>
                <w:kern w:val="0"/>
                <w:szCs w:val="21"/>
              </w:rPr>
            </w:pPr>
            <w:r>
              <w:rPr>
                <w:rFonts w:hint="eastAsia" w:ascii="宋体" w:hAnsi="宋体" w:cs="宋体"/>
                <w:color w:val="000000"/>
                <w:kern w:val="0"/>
                <w:szCs w:val="21"/>
              </w:rPr>
              <w:t>无线网络：WiFi支持 2.4/4G 802.11 b/g/n，可选配4G模块</w:t>
            </w:r>
          </w:p>
          <w:p>
            <w:pPr>
              <w:widowControl/>
              <w:jc w:val="left"/>
              <w:rPr>
                <w:rFonts w:ascii="宋体" w:hAnsi="宋体" w:cs="宋体"/>
                <w:color w:val="000000"/>
                <w:kern w:val="0"/>
                <w:szCs w:val="21"/>
              </w:rPr>
            </w:pPr>
            <w:r>
              <w:rPr>
                <w:rFonts w:hint="eastAsia" w:ascii="宋体" w:hAnsi="宋体" w:cs="宋体"/>
                <w:color w:val="000000"/>
                <w:kern w:val="0"/>
                <w:szCs w:val="21"/>
              </w:rPr>
              <w:t>运行内存（RAM)：4GB 机身存储：32GB</w:t>
            </w:r>
          </w:p>
          <w:p>
            <w:pPr>
              <w:widowControl/>
              <w:jc w:val="left"/>
              <w:rPr>
                <w:rFonts w:ascii="宋体" w:hAnsi="宋体" w:cs="宋体"/>
                <w:color w:val="000000"/>
                <w:kern w:val="0"/>
                <w:szCs w:val="21"/>
              </w:rPr>
            </w:pPr>
            <w:r>
              <w:rPr>
                <w:rFonts w:hint="eastAsia" w:ascii="宋体" w:hAnsi="宋体" w:cs="宋体"/>
                <w:color w:val="000000"/>
                <w:kern w:val="0"/>
                <w:szCs w:val="21"/>
              </w:rPr>
              <w:t>识别摄像头：800万像素 电池类型：锂电池</w:t>
            </w:r>
          </w:p>
          <w:p>
            <w:pPr>
              <w:widowControl/>
              <w:jc w:val="left"/>
              <w:rPr>
                <w:rFonts w:ascii="宋体" w:hAnsi="宋体" w:cs="宋体"/>
                <w:color w:val="000000"/>
                <w:kern w:val="0"/>
                <w:szCs w:val="21"/>
              </w:rPr>
            </w:pPr>
            <w:r>
              <w:rPr>
                <w:rFonts w:hint="eastAsia" w:ascii="宋体" w:hAnsi="宋体" w:cs="宋体"/>
                <w:color w:val="000000"/>
                <w:kern w:val="0"/>
                <w:szCs w:val="21"/>
              </w:rPr>
              <w:t>电池容量：32Ah 24V待机时间：8小时 满负荷工作时间：6小时</w:t>
            </w:r>
          </w:p>
          <w:p>
            <w:pPr>
              <w:widowControl/>
              <w:jc w:val="left"/>
              <w:rPr>
                <w:rFonts w:ascii="宋体" w:hAnsi="宋体" w:cs="宋体"/>
                <w:color w:val="000000"/>
                <w:kern w:val="0"/>
                <w:szCs w:val="21"/>
              </w:rPr>
            </w:pPr>
            <w:r>
              <w:rPr>
                <w:rFonts w:hint="eastAsia" w:ascii="宋体" w:hAnsi="宋体" w:cs="宋体"/>
                <w:color w:val="000000"/>
                <w:kern w:val="0"/>
                <w:szCs w:val="21"/>
              </w:rPr>
              <w:t>充电时间:5.5小时 充电桩输入：AC220-240V</w:t>
            </w:r>
          </w:p>
          <w:p>
            <w:pPr>
              <w:widowControl/>
              <w:jc w:val="left"/>
              <w:rPr>
                <w:rFonts w:ascii="宋体" w:hAnsi="宋体" w:cs="宋体"/>
                <w:color w:val="000000"/>
                <w:kern w:val="0"/>
                <w:szCs w:val="21"/>
              </w:rPr>
            </w:pPr>
            <w:r>
              <w:rPr>
                <w:rFonts w:hint="eastAsia" w:ascii="宋体" w:hAnsi="宋体" w:cs="宋体"/>
                <w:color w:val="000000"/>
                <w:kern w:val="0"/>
                <w:szCs w:val="21"/>
              </w:rPr>
              <w:t>充电桩输出：25.2V 10A Max</w:t>
            </w:r>
          </w:p>
          <w:p>
            <w:pPr>
              <w:widowControl/>
              <w:jc w:val="left"/>
              <w:rPr>
                <w:rFonts w:ascii="宋体" w:hAnsi="宋体" w:cs="宋体"/>
                <w:color w:val="000000"/>
                <w:kern w:val="0"/>
                <w:szCs w:val="21"/>
              </w:rPr>
            </w:pPr>
            <w:r>
              <w:rPr>
                <w:rFonts w:hint="eastAsia" w:ascii="宋体" w:hAnsi="宋体" w:cs="宋体"/>
                <w:color w:val="000000"/>
                <w:kern w:val="0"/>
                <w:szCs w:val="21"/>
              </w:rPr>
              <w:t xml:space="preserve">麦克风：环形6麦阵列，支持360°±10°声源定位，带回声消除 </w:t>
            </w:r>
          </w:p>
          <w:p>
            <w:pPr>
              <w:widowControl/>
              <w:jc w:val="left"/>
              <w:rPr>
                <w:rFonts w:ascii="宋体" w:hAnsi="宋体" w:cs="宋体"/>
                <w:color w:val="000000"/>
                <w:kern w:val="0"/>
                <w:szCs w:val="21"/>
              </w:rPr>
            </w:pPr>
            <w:r>
              <w:rPr>
                <w:rFonts w:hint="eastAsia" w:ascii="宋体" w:hAnsi="宋体" w:cs="宋体"/>
                <w:color w:val="000000"/>
                <w:kern w:val="0"/>
                <w:szCs w:val="21"/>
              </w:rPr>
              <w:t xml:space="preserve">扬声器：4Ω15W*2 输入方式：语音，触控 </w:t>
            </w:r>
          </w:p>
          <w:p>
            <w:pPr>
              <w:widowControl/>
              <w:jc w:val="left"/>
              <w:rPr>
                <w:rFonts w:ascii="宋体" w:hAnsi="宋体" w:cs="宋体"/>
                <w:color w:val="000000"/>
                <w:kern w:val="0"/>
                <w:szCs w:val="21"/>
              </w:rPr>
            </w:pPr>
            <w:r>
              <w:rPr>
                <w:rFonts w:hint="eastAsia" w:ascii="宋体" w:hAnsi="宋体" w:cs="宋体"/>
                <w:color w:val="000000"/>
                <w:kern w:val="0"/>
                <w:szCs w:val="21"/>
              </w:rPr>
              <w:t xml:space="preserve">激光雷达传感器：扫描半径 0-25m </w:t>
            </w:r>
          </w:p>
          <w:p>
            <w:pPr>
              <w:widowControl/>
              <w:jc w:val="left"/>
              <w:rPr>
                <w:rFonts w:ascii="宋体" w:hAnsi="宋体" w:cs="宋体"/>
                <w:color w:val="000000"/>
                <w:kern w:val="0"/>
                <w:szCs w:val="21"/>
              </w:rPr>
            </w:pPr>
            <w:r>
              <w:rPr>
                <w:rFonts w:hint="eastAsia" w:ascii="宋体" w:hAnsi="宋体" w:cs="宋体"/>
                <w:color w:val="000000"/>
                <w:kern w:val="0"/>
                <w:szCs w:val="21"/>
              </w:rPr>
              <w:t xml:space="preserve">导航精度：±5cm 超声波传感器：6组 </w:t>
            </w:r>
          </w:p>
          <w:p>
            <w:pPr>
              <w:widowControl/>
              <w:jc w:val="left"/>
              <w:rPr>
                <w:rFonts w:ascii="宋体" w:hAnsi="宋体" w:cs="宋体"/>
                <w:color w:val="000000"/>
                <w:kern w:val="0"/>
                <w:szCs w:val="21"/>
              </w:rPr>
            </w:pPr>
            <w:r>
              <w:rPr>
                <w:rFonts w:hint="eastAsia" w:ascii="宋体" w:hAnsi="宋体" w:cs="宋体"/>
                <w:color w:val="000000"/>
                <w:kern w:val="0"/>
                <w:szCs w:val="21"/>
              </w:rPr>
              <w:t>深度摄像头：1组  运动参数：最大行走速度 0.7m/s</w:t>
            </w:r>
          </w:p>
        </w:tc>
        <w:tc>
          <w:tcPr>
            <w:tcW w:w="62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color w:val="000000"/>
                <w:kern w:val="0"/>
                <w:szCs w:val="21"/>
              </w:rPr>
            </w:pPr>
            <w:r>
              <w:rPr>
                <w:rFonts w:hint="eastAsia" w:ascii="宋体" w:hAnsi="宋体" w:cs="宋体"/>
                <w:szCs w:val="21"/>
              </w:rPr>
              <w:t>台</w:t>
            </w:r>
          </w:p>
        </w:tc>
        <w:tc>
          <w:tcPr>
            <w:tcW w:w="746" w:type="dxa"/>
            <w:tcBorders>
              <w:top w:val="single" w:color="auto" w:sz="4" w:space="0"/>
              <w:left w:val="single" w:color="auto" w:sz="4" w:space="0"/>
              <w:bottom w:val="single" w:color="auto" w:sz="4" w:space="0"/>
              <w:right w:val="single" w:color="auto" w:sz="4" w:space="0"/>
            </w:tcBorders>
          </w:tcPr>
          <w:p>
            <w:pPr>
              <w:pStyle w:val="27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9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VR设备（包含软件开发）</w:t>
            </w:r>
          </w:p>
        </w:tc>
        <w:tc>
          <w:tcPr>
            <w:tcW w:w="55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szCs w:val="21"/>
              </w:rPr>
            </w:pPr>
            <w:r>
              <w:rPr>
                <w:rFonts w:hint="eastAsia" w:ascii="宋体" w:hAnsi="宋体" w:cs="宋体"/>
                <w:szCs w:val="21"/>
              </w:rPr>
              <w:t>技术参数：</w:t>
            </w:r>
          </w:p>
          <w:p>
            <w:pPr>
              <w:widowControl/>
              <w:jc w:val="left"/>
              <w:rPr>
                <w:rFonts w:ascii="宋体" w:hAnsi="宋体" w:cs="宋体"/>
                <w:szCs w:val="21"/>
              </w:rPr>
            </w:pPr>
            <w:r>
              <w:rPr>
                <w:rFonts w:hint="eastAsia" w:ascii="宋体" w:hAnsi="宋体" w:cs="宋体"/>
                <w:szCs w:val="21"/>
              </w:rPr>
              <w:t>显示屏：</w:t>
            </w:r>
          </w:p>
          <w:p>
            <w:pPr>
              <w:widowControl/>
              <w:jc w:val="left"/>
              <w:rPr>
                <w:rFonts w:ascii="宋体" w:hAnsi="宋体" w:cs="宋体"/>
                <w:szCs w:val="21"/>
              </w:rPr>
            </w:pPr>
            <w:r>
              <w:rPr>
                <w:rFonts w:hint="eastAsia" w:ascii="宋体" w:hAnsi="宋体" w:cs="宋体"/>
                <w:szCs w:val="21"/>
              </w:rPr>
              <w:t>5.5英寸ⅹ1 SFRTFT；</w:t>
            </w:r>
          </w:p>
          <w:p>
            <w:pPr>
              <w:widowControl/>
              <w:jc w:val="left"/>
              <w:rPr>
                <w:rFonts w:ascii="宋体" w:hAnsi="宋体" w:cs="宋体"/>
                <w:szCs w:val="21"/>
              </w:rPr>
            </w:pPr>
            <w:r>
              <w:rPr>
                <w:rFonts w:hint="eastAsia" w:ascii="宋体" w:hAnsi="宋体" w:cs="宋体"/>
                <w:szCs w:val="21"/>
              </w:rPr>
              <w:t>分辨率：</w:t>
            </w:r>
          </w:p>
          <w:p>
            <w:pPr>
              <w:widowControl/>
              <w:jc w:val="left"/>
              <w:rPr>
                <w:rFonts w:ascii="宋体" w:hAnsi="宋体" w:cs="宋体"/>
                <w:szCs w:val="21"/>
              </w:rPr>
            </w:pPr>
            <w:r>
              <w:rPr>
                <w:rFonts w:hint="eastAsia" w:ascii="宋体" w:hAnsi="宋体" w:cs="宋体"/>
                <w:szCs w:val="21"/>
              </w:rPr>
              <w:t>3664X1920，PPi：≥818；4K级分辨率视场角98°；</w:t>
            </w:r>
          </w:p>
          <w:p>
            <w:pPr>
              <w:widowControl/>
              <w:jc w:val="left"/>
              <w:rPr>
                <w:rFonts w:ascii="宋体" w:hAnsi="宋体" w:cs="宋体"/>
                <w:szCs w:val="21"/>
              </w:rPr>
            </w:pPr>
            <w:r>
              <w:rPr>
                <w:rFonts w:hint="eastAsia" w:ascii="宋体" w:hAnsi="宋体" w:cs="宋体"/>
                <w:szCs w:val="21"/>
              </w:rPr>
              <w:t>处理器：XR2；8核64；主频2.84GHz；</w:t>
            </w:r>
          </w:p>
          <w:p>
            <w:pPr>
              <w:widowControl/>
              <w:jc w:val="left"/>
              <w:rPr>
                <w:rFonts w:ascii="宋体" w:hAnsi="宋体" w:cs="宋体"/>
                <w:szCs w:val="21"/>
              </w:rPr>
            </w:pPr>
            <w:r>
              <w:rPr>
                <w:rFonts w:hint="eastAsia" w:ascii="宋体" w:hAnsi="宋体" w:cs="宋体"/>
                <w:szCs w:val="21"/>
              </w:rPr>
              <w:t>操作系统： Android10；</w:t>
            </w:r>
          </w:p>
          <w:p>
            <w:pPr>
              <w:widowControl/>
              <w:jc w:val="left"/>
              <w:rPr>
                <w:rFonts w:ascii="宋体" w:hAnsi="宋体" w:cs="宋体"/>
                <w:szCs w:val="21"/>
              </w:rPr>
            </w:pPr>
            <w:r>
              <w:rPr>
                <w:rFonts w:hint="eastAsia" w:ascii="宋体" w:hAnsi="宋体" w:cs="宋体"/>
                <w:szCs w:val="21"/>
              </w:rPr>
              <w:t>运存：</w:t>
            </w:r>
          </w:p>
          <w:p>
            <w:pPr>
              <w:widowControl/>
              <w:jc w:val="left"/>
              <w:rPr>
                <w:rFonts w:ascii="宋体" w:hAnsi="宋体" w:cs="宋体"/>
                <w:szCs w:val="21"/>
              </w:rPr>
            </w:pPr>
            <w:r>
              <w:rPr>
                <w:rFonts w:hint="eastAsia" w:ascii="宋体" w:hAnsi="宋体" w:cs="宋体"/>
                <w:szCs w:val="21"/>
              </w:rPr>
              <w:t>6GB LPDDR4X, 2133MHz；</w:t>
            </w:r>
          </w:p>
          <w:p>
            <w:pPr>
              <w:widowControl/>
              <w:jc w:val="left"/>
              <w:rPr>
                <w:rFonts w:ascii="宋体" w:hAnsi="宋体" w:cs="宋体"/>
                <w:szCs w:val="21"/>
              </w:rPr>
            </w:pPr>
            <w:r>
              <w:rPr>
                <w:rFonts w:hint="eastAsia" w:ascii="宋体" w:hAnsi="宋体" w:cs="宋体"/>
                <w:szCs w:val="21"/>
              </w:rPr>
              <w:t>闪存：256GB,UFS3.0；</w:t>
            </w:r>
          </w:p>
          <w:p>
            <w:pPr>
              <w:widowControl/>
              <w:jc w:val="left"/>
              <w:rPr>
                <w:rFonts w:ascii="宋体" w:hAnsi="宋体" w:cs="宋体"/>
                <w:szCs w:val="21"/>
              </w:rPr>
            </w:pPr>
            <w:r>
              <w:rPr>
                <w:rFonts w:hint="eastAsia" w:ascii="宋体" w:hAnsi="宋体" w:cs="宋体"/>
                <w:szCs w:val="21"/>
              </w:rPr>
              <w:t>电池：5300mAh；</w:t>
            </w:r>
          </w:p>
          <w:p>
            <w:pPr>
              <w:widowControl/>
              <w:jc w:val="left"/>
              <w:rPr>
                <w:rFonts w:ascii="宋体" w:hAnsi="宋体" w:cs="宋体"/>
                <w:szCs w:val="21"/>
              </w:rPr>
            </w:pPr>
            <w:r>
              <w:rPr>
                <w:rFonts w:hint="eastAsia" w:ascii="宋体" w:hAnsi="宋体" w:cs="宋体"/>
                <w:szCs w:val="21"/>
              </w:rPr>
              <w:t>体感功能：手柄红外传感器、6轴传感器；</w:t>
            </w:r>
          </w:p>
          <w:p>
            <w:pPr>
              <w:widowControl/>
              <w:jc w:val="left"/>
              <w:rPr>
                <w:rFonts w:ascii="宋体" w:hAnsi="宋体" w:cs="宋体"/>
                <w:szCs w:val="21"/>
              </w:rPr>
            </w:pPr>
            <w:r>
              <w:rPr>
                <w:rFonts w:hint="eastAsia" w:ascii="宋体" w:hAnsi="宋体" w:cs="宋体"/>
                <w:szCs w:val="21"/>
              </w:rPr>
              <w:t>传输：支持USB3.0；</w:t>
            </w:r>
          </w:p>
          <w:p>
            <w:pPr>
              <w:widowControl/>
              <w:jc w:val="left"/>
              <w:rPr>
                <w:rFonts w:ascii="宋体" w:hAnsi="宋体" w:cs="宋体"/>
                <w:szCs w:val="21"/>
              </w:rPr>
            </w:pPr>
            <w:r>
              <w:rPr>
                <w:rFonts w:hint="eastAsia" w:ascii="宋体" w:hAnsi="宋体" w:cs="宋体"/>
                <w:szCs w:val="21"/>
              </w:rPr>
              <w:t>展台：</w:t>
            </w:r>
          </w:p>
          <w:p>
            <w:pPr>
              <w:widowControl/>
              <w:jc w:val="left"/>
              <w:rPr>
                <w:rFonts w:ascii="宋体" w:hAnsi="宋体" w:cs="宋体"/>
                <w:szCs w:val="21"/>
              </w:rPr>
            </w:pPr>
            <w:r>
              <w:rPr>
                <w:rFonts w:hint="eastAsia" w:ascii="宋体" w:hAnsi="宋体" w:cs="宋体"/>
                <w:szCs w:val="21"/>
              </w:rPr>
              <w:t>1、根据现场环境定制烤漆材质VR展台；</w:t>
            </w:r>
          </w:p>
          <w:p>
            <w:pPr>
              <w:widowControl/>
              <w:jc w:val="left"/>
              <w:rPr>
                <w:rFonts w:ascii="宋体" w:hAnsi="宋体" w:cs="宋体"/>
                <w:szCs w:val="21"/>
              </w:rPr>
            </w:pPr>
            <w:r>
              <w:rPr>
                <w:rFonts w:hint="eastAsia" w:ascii="宋体" w:hAnsi="宋体" w:cs="宋体"/>
                <w:szCs w:val="21"/>
              </w:rPr>
              <w:t>2、带有设备防盗功能。</w:t>
            </w:r>
          </w:p>
          <w:p>
            <w:pPr>
              <w:pStyle w:val="26"/>
              <w:tabs>
                <w:tab w:val="left" w:pos="567"/>
              </w:tabs>
              <w:rPr>
                <w:rFonts w:cs="宋体"/>
                <w:color w:val="000000"/>
                <w:kern w:val="0"/>
                <w:sz w:val="21"/>
                <w:szCs w:val="21"/>
              </w:rPr>
            </w:pPr>
            <w:r>
              <w:rPr>
                <w:rFonts w:hint="eastAsia" w:ascii="宋体" w:hAnsi="宋体" w:eastAsia="宋体" w:cs="宋体"/>
                <w:sz w:val="21"/>
                <w:szCs w:val="21"/>
              </w:rPr>
              <w:t>VR软件开发内容为红色方面要求：体验者声临其境目睹红军翻越着终年积雪，空气稀薄，风暴、雪崩不断的大雪山。学习了红军这种不怕艰苦的精神。通过VR技术重现了《丰碑》的故事，为了战士们能穿上暖和的衣裳用自己的生命筑成了一座不朽的丰碑，时长5分钟。</w:t>
            </w:r>
          </w:p>
        </w:tc>
        <w:tc>
          <w:tcPr>
            <w:tcW w:w="62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746" w:type="dxa"/>
            <w:tcBorders>
              <w:top w:val="single" w:color="auto" w:sz="4" w:space="0"/>
              <w:left w:val="single" w:color="auto" w:sz="4" w:space="0"/>
              <w:bottom w:val="single" w:color="auto" w:sz="4" w:space="0"/>
              <w:right w:val="single" w:color="auto" w:sz="4" w:space="0"/>
            </w:tcBorders>
          </w:tcPr>
          <w:p>
            <w:pPr>
              <w:pStyle w:val="27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278"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szCs w:val="21"/>
              </w:rPr>
            </w:pPr>
            <w:r>
              <w:rPr>
                <w:rFonts w:hint="eastAsia" w:ascii="宋体" w:hAnsi="宋体" w:cs="宋体"/>
                <w:b/>
                <w:color w:val="000000"/>
                <w:szCs w:val="21"/>
              </w:rPr>
              <w:t>说明：1、磋商响应人的磋商响应文件必须标明所投货物的品牌与参数，保证原厂正品供货，提供相关资料等</w:t>
            </w:r>
            <w:r>
              <w:rPr>
                <w:rFonts w:hint="eastAsia" w:ascii="宋体" w:hAnsi="宋体" w:cs="宋体"/>
                <w:b/>
                <w:szCs w:val="21"/>
              </w:rPr>
              <w:t>。</w:t>
            </w:r>
          </w:p>
          <w:p>
            <w:pPr>
              <w:spacing w:line="360" w:lineRule="auto"/>
              <w:rPr>
                <w:rFonts w:ascii="宋体" w:hAnsi="宋体" w:cs="宋体"/>
                <w:b/>
                <w:color w:val="000000"/>
                <w:szCs w:val="21"/>
              </w:rPr>
            </w:pPr>
            <w:r>
              <w:rPr>
                <w:rFonts w:hint="eastAsia" w:ascii="宋体" w:hAnsi="宋体" w:cs="宋体"/>
                <w:b/>
                <w:color w:val="000000"/>
                <w:szCs w:val="21"/>
              </w:rPr>
              <w:t>2、</w:t>
            </w:r>
            <w:r>
              <w:rPr>
                <w:rFonts w:hint="eastAsia" w:ascii="宋体" w:hAnsi="宋体" w:cs="宋体"/>
                <w:b/>
                <w:szCs w:val="21"/>
              </w:rPr>
              <w:t>供应商报价包含设备原价、运杂费、运输损耗费、采购及保管费、质保、税费、安装调试费用并达到采购人验收要求的所有费用。质保按国家相关规范要求执行。</w:t>
            </w:r>
          </w:p>
          <w:p>
            <w:pPr>
              <w:widowControl/>
              <w:rPr>
                <w:rFonts w:ascii="宋体" w:hAnsi="宋体" w:cs="宋体"/>
                <w:b/>
                <w:color w:val="000000"/>
                <w:kern w:val="0"/>
                <w:szCs w:val="21"/>
              </w:rPr>
            </w:pPr>
            <w:r>
              <w:rPr>
                <w:rFonts w:hint="eastAsia" w:ascii="宋体" w:hAnsi="宋体" w:cs="宋体"/>
                <w:b/>
                <w:color w:val="000000"/>
                <w:szCs w:val="21"/>
              </w:rPr>
              <w:t>本次采购最高限价：人民币贰拾捌万陆仟柒佰贰拾元整（￥286720.00元）</w:t>
            </w:r>
          </w:p>
        </w:tc>
      </w:tr>
      <w:bookmarkEnd w:id="108"/>
    </w:tbl>
    <w:p>
      <w:pPr>
        <w:pStyle w:val="4"/>
        <w:ind w:firstLine="442" w:firstLineChars="200"/>
        <w:rPr>
          <w:rFonts w:cs="宋体"/>
          <w:color w:val="000000"/>
          <w:sz w:val="22"/>
          <w:szCs w:val="21"/>
        </w:rPr>
      </w:pPr>
      <w:bookmarkStart w:id="109" w:name="_Toc4579"/>
      <w:bookmarkStart w:id="110" w:name="_Toc8852"/>
      <w:r>
        <w:rPr>
          <w:rFonts w:hint="eastAsia" w:cs="宋体"/>
          <w:color w:val="000000"/>
          <w:sz w:val="22"/>
          <w:szCs w:val="21"/>
        </w:rPr>
        <w:t>二、人员培训要求</w:t>
      </w:r>
      <w:bookmarkEnd w:id="109"/>
      <w:bookmarkEnd w:id="110"/>
    </w:p>
    <w:p>
      <w:pPr>
        <w:widowControl/>
        <w:spacing w:line="5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货物安装、调试、验收合格后，成交人应对采购人的相关人员进行免费现场培训。培训内容包括基本操作、保养维修、常见故障及解决办法等。</w:t>
      </w:r>
    </w:p>
    <w:p>
      <w:pPr>
        <w:pStyle w:val="4"/>
        <w:ind w:firstLine="442" w:firstLineChars="200"/>
        <w:rPr>
          <w:rFonts w:cs="宋体"/>
          <w:color w:val="000000"/>
          <w:sz w:val="22"/>
          <w:szCs w:val="21"/>
        </w:rPr>
      </w:pPr>
      <w:bookmarkStart w:id="111" w:name="_Toc21193"/>
      <w:bookmarkStart w:id="112" w:name="_Toc8808"/>
      <w:r>
        <w:rPr>
          <w:rFonts w:hint="eastAsia" w:cs="宋体"/>
          <w:color w:val="000000"/>
          <w:sz w:val="22"/>
          <w:szCs w:val="21"/>
        </w:rPr>
        <w:t>三、货物质量及售后服务要求</w:t>
      </w:r>
      <w:bookmarkEnd w:id="111"/>
      <w:bookmarkEnd w:id="112"/>
    </w:p>
    <w:p>
      <w:pPr>
        <w:widowControl/>
        <w:spacing w:line="5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1.货物质量：成交人提供的货物必须是全新、原装、合格正品，完全符合国家规定的质量标准和厂方的标准。货物完好，配件齐全。</w:t>
      </w:r>
    </w:p>
    <w:p>
      <w:pPr>
        <w:widowControl/>
        <w:spacing w:line="5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2.保修及售后服务：依据商品的保修条款及售后服务条款，提供原厂质保，质保期按照国家规定，且不低于所供品牌向用户承诺的质保期限，竞争性磋商文件另有约定的从其约定。质保期从货物验收合格后算起。</w:t>
      </w:r>
    </w:p>
    <w:p>
      <w:pPr>
        <w:pStyle w:val="4"/>
        <w:ind w:firstLine="442" w:firstLineChars="200"/>
        <w:rPr>
          <w:rFonts w:cs="宋体"/>
          <w:color w:val="000000"/>
          <w:sz w:val="22"/>
          <w:szCs w:val="21"/>
        </w:rPr>
      </w:pPr>
      <w:bookmarkStart w:id="113" w:name="_Toc23093"/>
      <w:bookmarkStart w:id="114" w:name="_Toc466"/>
      <w:r>
        <w:rPr>
          <w:rFonts w:hint="eastAsia" w:cs="宋体"/>
          <w:color w:val="000000"/>
          <w:sz w:val="22"/>
          <w:szCs w:val="21"/>
        </w:rPr>
        <w:t>四、验收</w:t>
      </w:r>
      <w:bookmarkEnd w:id="113"/>
      <w:bookmarkEnd w:id="114"/>
    </w:p>
    <w:p>
      <w:pPr>
        <w:widowControl/>
        <w:spacing w:line="5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经项目监理组织验收，成交人和采购人双方共同实施验收核对，结果和验收报告经双方确认后生效。</w:t>
      </w:r>
    </w:p>
    <w:p>
      <w:pPr>
        <w:pStyle w:val="4"/>
        <w:ind w:firstLine="442" w:firstLineChars="200"/>
        <w:rPr>
          <w:rFonts w:cs="宋体"/>
          <w:color w:val="000000"/>
          <w:sz w:val="22"/>
          <w:szCs w:val="21"/>
        </w:rPr>
      </w:pPr>
      <w:r>
        <w:rPr>
          <w:rFonts w:hint="eastAsia" w:cs="宋体"/>
          <w:color w:val="000000"/>
          <w:sz w:val="22"/>
          <w:szCs w:val="21"/>
        </w:rPr>
        <w:t xml:space="preserve"> 五、支付</w:t>
      </w:r>
    </w:p>
    <w:p>
      <w:pPr>
        <w:adjustRightInd w:val="0"/>
        <w:snapToGrid w:val="0"/>
        <w:spacing w:line="360" w:lineRule="auto"/>
        <w:ind w:firstLine="440" w:firstLineChars="200"/>
        <w:rPr>
          <w:rFonts w:eastAsia="仿宋_GB2312"/>
          <w:sz w:val="28"/>
          <w:szCs w:val="28"/>
        </w:rPr>
      </w:pPr>
      <w:r>
        <w:rPr>
          <w:rFonts w:hint="eastAsia" w:ascii="宋体" w:hAnsi="宋体" w:cs="宋体"/>
          <w:color w:val="000000"/>
          <w:sz w:val="22"/>
          <w:szCs w:val="22"/>
        </w:rPr>
        <w:t>合同签订后支付合同价款的40％，项目建设完成经监理组织验收合格后支付70%，双方签字确认，经审计后支付至审定价款的100%。</w:t>
      </w:r>
      <w:r>
        <w:rPr>
          <w:rFonts w:eastAsia="仿宋_GB2312"/>
          <w:sz w:val="28"/>
          <w:szCs w:val="28"/>
        </w:rPr>
        <w:br w:type="page"/>
      </w:r>
    </w:p>
    <w:p>
      <w:pPr>
        <w:pStyle w:val="3"/>
        <w:tabs>
          <w:tab w:val="clear" w:pos="1440"/>
          <w:tab w:val="clear" w:pos="5670"/>
        </w:tabs>
        <w:spacing w:beforeLines="0" w:afterLines="0"/>
        <w:ind w:firstLine="0" w:firstLineChars="0"/>
        <w:jc w:val="center"/>
        <w:rPr>
          <w:rFonts w:ascii="宋体" w:eastAsia="宋体" w:cs="宋体"/>
        </w:rPr>
      </w:pPr>
      <w:bookmarkStart w:id="115" w:name="_Toc54941340"/>
      <w:bookmarkStart w:id="116" w:name="_Toc10569"/>
      <w:bookmarkStart w:id="117" w:name="_Toc11149"/>
      <w:r>
        <w:rPr>
          <w:rFonts w:hint="eastAsia" w:ascii="Arial" w:hAnsi="Arial"/>
          <w:kern w:val="2"/>
          <w:sz w:val="32"/>
          <w:szCs w:val="32"/>
        </w:rPr>
        <w:t>第四章</w:t>
      </w:r>
      <w:r>
        <w:rPr>
          <w:rFonts w:ascii="Arial" w:hAnsi="Arial"/>
          <w:kern w:val="2"/>
          <w:sz w:val="32"/>
          <w:szCs w:val="32"/>
        </w:rPr>
        <w:t xml:space="preserve">     </w:t>
      </w:r>
      <w:bookmarkStart w:id="118" w:name="_Toc476584431"/>
      <w:bookmarkStart w:id="119" w:name="_Toc10479"/>
      <w:r>
        <w:rPr>
          <w:rFonts w:hint="eastAsia" w:ascii="Arial" w:hAnsi="Arial"/>
          <w:kern w:val="2"/>
          <w:sz w:val="32"/>
          <w:szCs w:val="32"/>
        </w:rPr>
        <w:t>合同主要条款</w:t>
      </w:r>
      <w:bookmarkEnd w:id="115"/>
      <w:bookmarkEnd w:id="116"/>
      <w:bookmarkEnd w:id="117"/>
      <w:bookmarkEnd w:id="118"/>
      <w:bookmarkEnd w:id="119"/>
    </w:p>
    <w:p>
      <w:pPr>
        <w:tabs>
          <w:tab w:val="left" w:pos="3640"/>
        </w:tabs>
        <w:autoSpaceDE w:val="0"/>
        <w:autoSpaceDN w:val="0"/>
        <w:spacing w:line="360" w:lineRule="auto"/>
        <w:rPr>
          <w:rFonts w:ascii="宋体" w:cs="宋体"/>
          <w:szCs w:val="21"/>
          <w:u w:val="single"/>
        </w:rPr>
      </w:pPr>
      <w:r>
        <w:rPr>
          <w:rFonts w:hint="eastAsia" w:ascii="宋体" w:hAnsi="宋体" w:cs="宋体"/>
          <w:szCs w:val="21"/>
        </w:rPr>
        <w:t>买方（采购人）：</w:t>
      </w:r>
      <w:r>
        <w:rPr>
          <w:rFonts w:ascii="宋体" w:hAnsi="宋体" w:cs="宋体"/>
          <w:szCs w:val="21"/>
          <w:u w:val="single"/>
        </w:rPr>
        <w:t xml:space="preserve">                           </w:t>
      </w:r>
    </w:p>
    <w:p>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根据《中华人民共和国民法典》及</w:t>
      </w:r>
      <w:r>
        <w:rPr>
          <w:rFonts w:hint="eastAsia" w:ascii="宋体" w:hAnsi="宋体" w:cs="宋体"/>
          <w:szCs w:val="21"/>
          <w:u w:val="single"/>
        </w:rPr>
        <w:t xml:space="preserve">                                （项目名称）</w:t>
      </w:r>
      <w:r>
        <w:rPr>
          <w:rFonts w:hint="eastAsia" w:ascii="宋体" w:hAnsi="宋体" w:cs="宋体"/>
          <w:szCs w:val="21"/>
        </w:rPr>
        <w:t>的磋商文件、响应文件，买、卖双方经协商一致，签订如下合同条款，并共同遵守。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rPr>
      </w:pPr>
      <w:r>
        <w:rPr>
          <w:rFonts w:hint="eastAsia" w:ascii="宋体" w:hAnsi="宋体" w:cs="宋体"/>
          <w:b/>
          <w:szCs w:val="21"/>
        </w:rPr>
        <w:t>一、货物名称、生产厂家、品牌、数量及金额</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本合同所列货物首先须满足磋商文件要求，其次与成交单位的响应文件一致。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：依据商品的保修条款、售后服务条款，磋商文件另有要求的从其约定。</w:t>
      </w:r>
    </w:p>
    <w:p>
      <w:pPr>
        <w:tabs>
          <w:tab w:val="left" w:pos="3640"/>
        </w:tabs>
        <w:autoSpaceDE w:val="0"/>
        <w:autoSpaceDN w:val="0"/>
        <w:spacing w:line="360" w:lineRule="auto"/>
        <w:ind w:firstLine="422" w:firstLineChars="200"/>
        <w:rPr>
          <w:rFonts w:ascii="宋体" w:hAnsi="宋体" w:cs="宋体"/>
          <w:szCs w:val="21"/>
        </w:rPr>
      </w:pPr>
      <w:r>
        <w:rPr>
          <w:rFonts w:hint="eastAsia" w:ascii="宋体" w:hAnsi="宋体" w:cs="宋体"/>
          <w:b/>
          <w:szCs w:val="21"/>
        </w:rPr>
        <w:t>三、交货、安装、调试期：</w:t>
      </w:r>
    </w:p>
    <w:p>
      <w:pPr>
        <w:tabs>
          <w:tab w:val="left" w:pos="3640"/>
        </w:tabs>
        <w:autoSpaceDE w:val="0"/>
        <w:autoSpaceDN w:val="0"/>
        <w:spacing w:line="360" w:lineRule="auto"/>
        <w:ind w:firstLine="422" w:firstLineChars="200"/>
        <w:rPr>
          <w:rFonts w:ascii="宋体"/>
          <w:b/>
          <w:szCs w:val="21"/>
        </w:rPr>
      </w:pPr>
      <w:r>
        <w:rPr>
          <w:rFonts w:hint="eastAsia" w:ascii="宋体" w:hAnsi="宋体" w:cs="宋体"/>
          <w:b/>
          <w:szCs w:val="21"/>
        </w:rPr>
        <w:t>四、项目地点：</w:t>
      </w:r>
    </w:p>
    <w:p>
      <w:pPr>
        <w:tabs>
          <w:tab w:val="left" w:pos="3640"/>
        </w:tabs>
        <w:autoSpaceDE w:val="0"/>
        <w:autoSpaceDN w:val="0"/>
        <w:spacing w:line="360" w:lineRule="auto"/>
        <w:ind w:firstLine="422" w:firstLineChars="200"/>
        <w:rPr>
          <w:b/>
        </w:rPr>
      </w:pPr>
      <w:r>
        <w:rPr>
          <w:rFonts w:hint="eastAsia" w:ascii="宋体" w:hAnsi="宋体" w:cs="宋体"/>
          <w:b/>
          <w:szCs w:val="21"/>
        </w:rPr>
        <w:t>五、</w:t>
      </w:r>
      <w:r>
        <w:rPr>
          <w:rFonts w:hint="eastAsia"/>
          <w:b/>
        </w:rPr>
        <w:t>验收：</w:t>
      </w:r>
    </w:p>
    <w:p>
      <w:pPr>
        <w:spacing w:line="360" w:lineRule="auto"/>
        <w:ind w:firstLine="422" w:firstLineChars="200"/>
        <w:rPr>
          <w:rFonts w:ascii="宋体" w:hAnsi="宋体" w:cs="宋体"/>
          <w:szCs w:val="21"/>
        </w:rPr>
      </w:pPr>
      <w:r>
        <w:rPr>
          <w:rFonts w:hint="eastAsia" w:ascii="宋体" w:hAnsi="宋体" w:cs="宋体"/>
          <w:b/>
          <w:szCs w:val="21"/>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七、履约保证金金额：</w:t>
      </w:r>
    </w:p>
    <w:p>
      <w:pPr>
        <w:spacing w:line="360" w:lineRule="auto"/>
        <w:ind w:firstLine="422" w:firstLineChars="200"/>
        <w:rPr>
          <w:rFonts w:ascii="宋体" w:hAnsi="宋体" w:cs="宋体"/>
          <w:b/>
          <w:szCs w:val="21"/>
        </w:rPr>
      </w:pPr>
      <w:r>
        <w:rPr>
          <w:rFonts w:hint="eastAsia" w:ascii="宋体" w:hAnsi="宋体" w:cs="宋体"/>
          <w:b/>
          <w:szCs w:val="21"/>
        </w:rPr>
        <w:t>八、履约保证金退还：</w:t>
      </w:r>
    </w:p>
    <w:p>
      <w:pPr>
        <w:spacing w:line="360" w:lineRule="auto"/>
        <w:ind w:firstLine="422" w:firstLineChars="200"/>
        <w:rPr>
          <w:rFonts w:ascii="宋体"/>
          <w:b/>
          <w:szCs w:val="21"/>
        </w:rPr>
      </w:pPr>
      <w:r>
        <w:rPr>
          <w:rFonts w:hint="eastAsia" w:ascii="宋体" w:hAnsi="宋体" w:cs="宋体"/>
          <w:b/>
          <w:szCs w:val="21"/>
        </w:rPr>
        <w:t>九、违约责任</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1</w:t>
      </w:r>
      <w:r>
        <w:rPr>
          <w:rFonts w:hint="eastAsia"/>
          <w:spacing w:val="8"/>
          <w:szCs w:val="21"/>
        </w:rPr>
        <w:t>、买方无正当理由拒收货物，买方向卖方偿付货款总值的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2</w:t>
      </w:r>
      <w:r>
        <w:rPr>
          <w:rFonts w:hint="eastAsia"/>
          <w:spacing w:val="8"/>
          <w:szCs w:val="21"/>
        </w:rPr>
        <w:t>、买方无正当理由逾期付货款的，买方向卖方每日偿付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3、卖方不能交付货物的，卖方向买方支付货款总值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4、卖方逾期交付货物的，卖方向买方每日偿付货款总值的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十、解决合同纠纷方式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十一、</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2、磋商文件；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w:t>
      </w:r>
      <w:r>
        <w:rPr>
          <w:rFonts w:hint="eastAsia" w:ascii="宋体" w:hAnsi="宋体" w:cs="宋体"/>
          <w:kern w:val="0"/>
          <w:szCs w:val="21"/>
        </w:rPr>
        <w:t>约定</w:t>
      </w:r>
      <w:r>
        <w:rPr>
          <w:rFonts w:hint="eastAsia" w:ascii="宋体" w:hAnsi="宋体" w:cs="宋体"/>
          <w:szCs w:val="21"/>
        </w:rPr>
        <w:t>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十二、</w:t>
      </w:r>
      <w:r>
        <w:rPr>
          <w:rFonts w:hint="eastAsia" w:ascii="宋体" w:hAnsi="宋体"/>
          <w:spacing w:val="8"/>
          <w:szCs w:val="21"/>
        </w:rPr>
        <w:t>其他</w:t>
      </w:r>
      <w:r>
        <w:rPr>
          <w:rFonts w:hint="eastAsia" w:ascii="宋体" w:hAnsi="宋体" w:cs="宋体"/>
          <w:kern w:val="0"/>
          <w:szCs w:val="21"/>
        </w:rPr>
        <w:t>约定</w:t>
      </w:r>
      <w:r>
        <w:rPr>
          <w:rFonts w:hint="eastAsia" w:ascii="宋体" w:hAnsi="宋体"/>
          <w:spacing w:val="8"/>
          <w:szCs w:val="21"/>
        </w:rPr>
        <w:t>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rPr>
          <w:rFonts w:ascii="宋体" w:cs="宋体"/>
          <w:szCs w:val="21"/>
        </w:rPr>
      </w:pPr>
    </w:p>
    <w:p>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 xml:space="preserve">买  方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卖   方                        </w:t>
      </w:r>
    </w:p>
    <w:p>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采购人（单位盖章）：</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成交人（单位盖章）：</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法定代表人</w:t>
      </w:r>
      <w:r>
        <w:rPr>
          <w:rFonts w:ascii="宋体" w:hAnsi="宋体" w:cs="宋体"/>
          <w:szCs w:val="21"/>
        </w:rPr>
        <w:t xml:space="preserve">                                 </w:t>
      </w:r>
      <w:r>
        <w:rPr>
          <w:rFonts w:hint="eastAsia" w:ascii="宋体" w:hAnsi="宋体" w:cs="宋体"/>
          <w:szCs w:val="21"/>
        </w:rPr>
        <w:t>法定代表人</w:t>
      </w:r>
    </w:p>
    <w:p>
      <w:pPr>
        <w:tabs>
          <w:tab w:val="left" w:pos="3640"/>
        </w:tabs>
        <w:autoSpaceDE w:val="0"/>
        <w:autoSpaceDN w:val="0"/>
        <w:spacing w:line="480" w:lineRule="auto"/>
        <w:ind w:firstLine="630" w:firstLineChars="300"/>
        <w:rPr>
          <w:rFonts w:ascii="宋体" w:hAnsi="宋体" w:cs="宋体"/>
          <w:szCs w:val="21"/>
        </w:rPr>
      </w:pPr>
      <w:r>
        <w:rPr>
          <w:rFonts w:hint="eastAsia" w:ascii="宋体" w:hAnsi="宋体" w:cs="宋体"/>
          <w:szCs w:val="21"/>
        </w:rPr>
        <w:t>或授权代表（签字）：</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或授权代表（签字）：</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480" w:lineRule="auto"/>
        <w:rPr>
          <w:rFonts w:ascii="宋体" w:cs="宋体"/>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年   月    日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年   月    日         </w:t>
      </w:r>
    </w:p>
    <w:p>
      <w:pPr>
        <w:snapToGrid w:val="0"/>
        <w:spacing w:line="480" w:lineRule="auto"/>
        <w:rPr>
          <w:rFonts w:ascii="宋体" w:cs="宋体"/>
        </w:rPr>
      </w:pPr>
    </w:p>
    <w:p>
      <w:pPr>
        <w:snapToGrid w:val="0"/>
        <w:spacing w:line="480" w:lineRule="auto"/>
        <w:rPr>
          <w:rFonts w:ascii="宋体" w:cs="宋体"/>
        </w:rPr>
      </w:pPr>
      <w:r>
        <w:rPr>
          <w:rFonts w:ascii="宋体" w:cs="宋体"/>
        </w:rPr>
        <w:br w:type="page"/>
      </w:r>
    </w:p>
    <w:p>
      <w:pPr>
        <w:pStyle w:val="3"/>
        <w:spacing w:before="62" w:beforeLines="20" w:after="62" w:afterLines="20" w:line="480" w:lineRule="exact"/>
        <w:ind w:firstLine="0" w:firstLineChars="0"/>
        <w:jc w:val="center"/>
        <w:rPr>
          <w:rFonts w:ascii="Arial" w:hAnsi="Arial"/>
          <w:kern w:val="2"/>
          <w:sz w:val="36"/>
          <w:szCs w:val="36"/>
        </w:rPr>
      </w:pPr>
      <w:bookmarkStart w:id="120" w:name="_Toc8981"/>
      <w:bookmarkStart w:id="121" w:name="_Toc54941341"/>
      <w:bookmarkStart w:id="122" w:name="_Toc25399"/>
      <w:bookmarkStart w:id="123" w:name="_Toc439316880"/>
      <w:r>
        <w:rPr>
          <w:rFonts w:hint="eastAsia" w:ascii="Arial" w:hAnsi="Arial"/>
          <w:kern w:val="2"/>
          <w:sz w:val="36"/>
          <w:szCs w:val="36"/>
          <w:lang w:val="zh-CN"/>
        </w:rPr>
        <w:t>第五章</w:t>
      </w:r>
      <w:r>
        <w:rPr>
          <w:rFonts w:ascii="Arial" w:hAnsi="Arial"/>
          <w:kern w:val="2"/>
          <w:sz w:val="36"/>
          <w:szCs w:val="36"/>
          <w:lang w:val="zh-CN"/>
        </w:rPr>
        <w:t xml:space="preserve">  </w:t>
      </w:r>
      <w:bookmarkStart w:id="124" w:name="_Toc417656001"/>
      <w:r>
        <w:rPr>
          <w:rFonts w:hint="eastAsia" w:ascii="Arial" w:hAnsi="Arial"/>
          <w:kern w:val="2"/>
          <w:sz w:val="36"/>
          <w:szCs w:val="36"/>
        </w:rPr>
        <w:t>响应文件格式</w:t>
      </w:r>
      <w:bookmarkEnd w:id="120"/>
      <w:bookmarkEnd w:id="121"/>
      <w:bookmarkEnd w:id="122"/>
      <w:bookmarkEnd w:id="123"/>
      <w:bookmarkEnd w:id="124"/>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r>
        <w:rPr>
          <w:rFonts w:hint="eastAsia" w:ascii="宋体" w:hAnsi="宋体"/>
          <w:b/>
          <w:sz w:val="30"/>
          <w:szCs w:val="30"/>
        </w:rPr>
        <w:t>法定代表人或委托代理人：</w:t>
      </w:r>
      <w:r>
        <w:rPr>
          <w:rFonts w:hint="eastAsia" w:ascii="宋体" w:hAnsi="宋体"/>
          <w:b/>
          <w:sz w:val="30"/>
          <w:szCs w:val="30"/>
          <w:u w:val="single"/>
        </w:rPr>
        <w:t xml:space="preserve">              </w:t>
      </w:r>
      <w:r>
        <w:rPr>
          <w:rFonts w:hint="eastAsia" w:ascii="宋体" w:hAnsi="宋体"/>
          <w:b/>
          <w:sz w:val="30"/>
          <w:szCs w:val="30"/>
        </w:rPr>
        <w:t xml:space="preserve"> (签字或盖章) </w:t>
      </w: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pStyle w:val="2"/>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8"/>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8"/>
        </w:numPr>
        <w:spacing w:line="480" w:lineRule="auto"/>
        <w:ind w:firstLine="480" w:firstLineChars="200"/>
        <w:rPr>
          <w:rFonts w:ascii="宋体" w:cs="宋体"/>
          <w:sz w:val="24"/>
        </w:rPr>
      </w:pPr>
      <w:r>
        <w:rPr>
          <w:rFonts w:hint="eastAsia" w:ascii="宋体" w:hAnsi="宋体" w:cs="宋体"/>
          <w:sz w:val="24"/>
        </w:rPr>
        <w:t>货物报价表</w:t>
      </w:r>
    </w:p>
    <w:p>
      <w:pPr>
        <w:numPr>
          <w:ilvl w:val="0"/>
          <w:numId w:val="8"/>
        </w:numPr>
        <w:spacing w:line="480" w:lineRule="auto"/>
        <w:ind w:firstLine="480" w:firstLineChars="200"/>
        <w:rPr>
          <w:rFonts w:ascii="宋体" w:cs="宋体"/>
          <w:sz w:val="24"/>
        </w:rPr>
      </w:pPr>
      <w:r>
        <w:rPr>
          <w:rFonts w:hint="eastAsia" w:ascii="宋体" w:hAnsi="宋体" w:cs="宋体"/>
          <w:sz w:val="24"/>
        </w:rPr>
        <w:t>技术参数响应表</w:t>
      </w:r>
    </w:p>
    <w:p>
      <w:pPr>
        <w:numPr>
          <w:ilvl w:val="0"/>
          <w:numId w:val="8"/>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ascii="宋体" w:cs="宋体"/>
          <w:sz w:val="24"/>
        </w:rPr>
      </w:pPr>
      <w:r>
        <w:rPr>
          <w:rFonts w:hint="eastAsia" w:ascii="宋体" w:hAnsi="宋体" w:cs="宋体"/>
          <w:sz w:val="24"/>
        </w:rPr>
        <w:t>五、供货安装及售后服务方案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cs="宋体"/>
          <w:sz w:val="24"/>
        </w:rPr>
      </w:pPr>
      <w:r>
        <w:rPr>
          <w:rFonts w:hint="eastAsia" w:ascii="宋体" w:hAnsi="宋体"/>
          <w:sz w:val="24"/>
        </w:rPr>
        <w:t>七、</w:t>
      </w:r>
      <w:r>
        <w:rPr>
          <w:rFonts w:hint="eastAsia" w:ascii="宋体" w:hAnsi="宋体" w:cs="宋体"/>
          <w:sz w:val="24"/>
        </w:rPr>
        <w:t>磋商证明文件</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4"/>
        <w:jc w:val="center"/>
        <w:rPr>
          <w:rFonts w:cs="宋体"/>
          <w:sz w:val="28"/>
          <w:szCs w:val="28"/>
        </w:rPr>
      </w:pPr>
      <w:bookmarkStart w:id="125" w:name="_Toc54941342"/>
      <w:bookmarkStart w:id="126" w:name="_Toc476584433"/>
      <w:r>
        <w:rPr>
          <w:rFonts w:hint="eastAsia" w:cs="宋体"/>
          <w:sz w:val="28"/>
          <w:szCs w:val="28"/>
        </w:rPr>
        <w:t>一、磋商响应函</w:t>
      </w:r>
      <w:bookmarkEnd w:id="125"/>
      <w:bookmarkEnd w:id="126"/>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31"/>
        <w:tabs>
          <w:tab w:val="left" w:pos="5580"/>
        </w:tabs>
        <w:spacing w:line="480" w:lineRule="auto"/>
        <w:ind w:firstLine="420" w:firstLineChars="200"/>
        <w:rPr>
          <w:rFonts w:hAnsi="宋体" w:cs="宋体"/>
        </w:rPr>
      </w:pPr>
      <w:r>
        <w:rPr>
          <w:rFonts w:hAnsi="宋体" w:cs="宋体"/>
        </w:rPr>
        <w:t>1</w:t>
      </w:r>
      <w:r>
        <w:rPr>
          <w:rFonts w:hint="eastAsia" w:hAnsi="宋体" w:cs="宋体"/>
        </w:rPr>
        <w:t>、我方决定参加贵方组织的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31"/>
        <w:tabs>
          <w:tab w:val="left" w:pos="5580"/>
        </w:tabs>
        <w:spacing w:line="480" w:lineRule="auto"/>
        <w:ind w:firstLine="420" w:firstLineChars="200"/>
        <w:rPr>
          <w:rFonts w:hAnsi="宋体" w:cs="宋体"/>
        </w:rPr>
      </w:pPr>
      <w:r>
        <w:rPr>
          <w:rFonts w:hAnsi="宋体" w:cs="宋体"/>
        </w:rPr>
        <w:t>2</w:t>
      </w:r>
      <w:r>
        <w:rPr>
          <w:rFonts w:hint="eastAsia" w:hAnsi="宋体" w:cs="宋体"/>
        </w:rPr>
        <w:t>、我方愿意按照磋商文件约定的各项要求，向采购人提供所需的货物与服务，磋商报价为人民币（大写）</w:t>
      </w:r>
      <w:r>
        <w:rPr>
          <w:rFonts w:hAnsi="宋体" w:cs="宋体"/>
          <w:u w:val="single"/>
        </w:rPr>
        <w:t xml:space="preserve">                    </w:t>
      </w:r>
      <w:r>
        <w:rPr>
          <w:rFonts w:hint="eastAsia" w:hAnsi="宋体" w:cs="宋体"/>
          <w:u w:val="single"/>
        </w:rPr>
        <w:t>；</w:t>
      </w:r>
      <w:r>
        <w:rPr>
          <w:rFonts w:hAnsi="宋体" w:cs="宋体"/>
        </w:rPr>
        <w:t>(</w:t>
      </w:r>
      <w:r>
        <w:rPr>
          <w:rFonts w:hint="eastAsia" w:hAnsi="宋体" w:cs="宋体"/>
        </w:rPr>
        <w:t>小写</w:t>
      </w:r>
      <w:r>
        <w:rPr>
          <w:rFonts w:hAnsi="宋体" w:cs="宋体"/>
        </w:rPr>
        <w:t>)</w:t>
      </w:r>
      <w:r>
        <w:rPr>
          <w:rFonts w:hAnsi="宋体" w:cs="宋体"/>
          <w:u w:val="single"/>
        </w:rPr>
        <w:t xml:space="preserve">                  </w:t>
      </w:r>
      <w:r>
        <w:rPr>
          <w:rFonts w:hint="eastAsia" w:hAnsi="宋体" w:cs="宋体"/>
        </w:rPr>
        <w:t>。</w:t>
      </w:r>
    </w:p>
    <w:p>
      <w:pPr>
        <w:pStyle w:val="31"/>
        <w:tabs>
          <w:tab w:val="left" w:pos="5580"/>
        </w:tabs>
        <w:spacing w:line="480" w:lineRule="auto"/>
        <w:ind w:firstLine="417" w:firstLineChars="199"/>
        <w:rPr>
          <w:rFonts w:hAnsi="宋体" w:cs="宋体"/>
          <w:u w:val="single"/>
        </w:rPr>
      </w:pPr>
      <w:r>
        <w:rPr>
          <w:rFonts w:hAnsi="宋体" w:cs="宋体"/>
        </w:rPr>
        <w:t>3</w:t>
      </w:r>
      <w:r>
        <w:rPr>
          <w:rFonts w:hint="eastAsia" w:hAnsi="宋体" w:cs="宋体"/>
        </w:rPr>
        <w:t>、一旦我方成交，我方将严格履行合同约定的责任和义务，保证</w:t>
      </w:r>
      <w:r>
        <w:rPr>
          <w:rFonts w:hint="eastAsia" w:hAnsi="宋体" w:cs="宋体"/>
          <w:u w:val="single"/>
        </w:rPr>
        <w:t>合同签订之日起   日历天完成。</w:t>
      </w:r>
    </w:p>
    <w:p>
      <w:pPr>
        <w:pStyle w:val="31"/>
        <w:tabs>
          <w:tab w:val="left" w:pos="5580"/>
        </w:tabs>
        <w:spacing w:line="480" w:lineRule="auto"/>
        <w:ind w:firstLine="394" w:firstLineChars="199"/>
        <w:rPr>
          <w:rFonts w:hAnsi="宋体" w:cs="宋体"/>
          <w:spacing w:val="-6"/>
        </w:rPr>
      </w:pPr>
      <w:r>
        <w:rPr>
          <w:rFonts w:hint="eastAsia" w:hAnsi="宋体" w:cs="宋体"/>
          <w:spacing w:val="-6"/>
        </w:rPr>
        <w:t>4、我方保证按照本项目竞争性磋商文件要求提交磋商响应文件。</w:t>
      </w:r>
    </w:p>
    <w:p>
      <w:pPr>
        <w:pStyle w:val="31"/>
        <w:tabs>
          <w:tab w:val="left" w:pos="5580"/>
        </w:tabs>
        <w:spacing w:line="480" w:lineRule="auto"/>
        <w:ind w:firstLine="394" w:firstLineChars="199"/>
        <w:rPr>
          <w:rFonts w:hAnsi="宋体" w:cs="宋体"/>
          <w:spacing w:val="-6"/>
        </w:rPr>
      </w:pPr>
      <w:r>
        <w:rPr>
          <w:rFonts w:hint="eastAsia" w:hAnsi="宋体" w:cs="宋体"/>
          <w:spacing w:val="-6"/>
        </w:rPr>
        <w:t>5、我方愿意提供贵方可能另外要求的、与响应有关的文件资料，并保证我方已提供和将要提供的文件是真实的、准确的。</w:t>
      </w:r>
    </w:p>
    <w:p>
      <w:pPr>
        <w:pStyle w:val="31"/>
        <w:tabs>
          <w:tab w:val="left" w:pos="5580"/>
        </w:tabs>
        <w:spacing w:line="480" w:lineRule="auto"/>
        <w:ind w:firstLine="394" w:firstLineChars="199"/>
        <w:rPr>
          <w:rFonts w:hAnsi="宋体" w:cs="宋体"/>
        </w:rPr>
      </w:pPr>
      <w:r>
        <w:rPr>
          <w:rFonts w:hint="eastAsia" w:hAnsi="宋体" w:cs="宋体"/>
          <w:spacing w:val="-6"/>
        </w:rPr>
        <w:t>6、我方完全理解贵方不一定将合同授予折扣率报价的供应商</w:t>
      </w:r>
      <w:r>
        <w:rPr>
          <w:rFonts w:hint="eastAsia" w:hAnsi="宋体" w:cs="宋体"/>
        </w:rPr>
        <w:t>。</w:t>
      </w: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 xml:space="preserve">法定代表人或委托代理人： </w:t>
      </w:r>
      <w:r>
        <w:rPr>
          <w:rFonts w:hint="eastAsia" w:hAnsi="宋体" w:cs="宋体"/>
          <w:u w:val="single"/>
        </w:rPr>
        <w:t xml:space="preserve">             </w:t>
      </w:r>
      <w:r>
        <w:rPr>
          <w:rFonts w:hint="eastAsia" w:hAnsi="宋体" w:cs="宋体"/>
        </w:rPr>
        <w:t xml:space="preserve"> (签字或盖章) </w:t>
      </w:r>
    </w:p>
    <w:p>
      <w:pPr>
        <w:pStyle w:val="31"/>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pStyle w:val="31"/>
        <w:tabs>
          <w:tab w:val="left" w:pos="5580"/>
        </w:tabs>
        <w:spacing w:line="480" w:lineRule="auto"/>
        <w:ind w:firstLine="3570" w:firstLineChars="1700"/>
        <w:rPr>
          <w:rFonts w:hAnsi="宋体" w:cs="宋体"/>
        </w:rPr>
      </w:pPr>
    </w:p>
    <w:p>
      <w:pPr>
        <w:pStyle w:val="31"/>
        <w:tabs>
          <w:tab w:val="left" w:pos="5580"/>
        </w:tabs>
        <w:spacing w:line="480" w:lineRule="auto"/>
        <w:ind w:firstLine="3570" w:firstLineChars="1700"/>
        <w:rPr>
          <w:rFonts w:hAnsi="宋体" w:cs="宋体"/>
        </w:rPr>
      </w:pPr>
    </w:p>
    <w:p>
      <w:pPr>
        <w:spacing w:line="360" w:lineRule="auto"/>
        <w:rPr>
          <w:rFonts w:ascii="宋体" w:cs="宋体"/>
          <w:sz w:val="24"/>
        </w:rPr>
      </w:pPr>
    </w:p>
    <w:p>
      <w:pPr>
        <w:pStyle w:val="4"/>
        <w:numPr>
          <w:ilvl w:val="0"/>
          <w:numId w:val="9"/>
        </w:numPr>
        <w:jc w:val="center"/>
        <w:rPr>
          <w:rFonts w:cs="宋体"/>
          <w:sz w:val="28"/>
          <w:szCs w:val="28"/>
        </w:rPr>
      </w:pPr>
      <w:bookmarkStart w:id="127" w:name="_Toc476584434"/>
      <w:bookmarkStart w:id="128" w:name="_Toc54941343"/>
      <w:bookmarkStart w:id="129" w:name="_Toc28034"/>
      <w:bookmarkStart w:id="130" w:name="_Toc27341"/>
      <w:r>
        <w:rPr>
          <w:rFonts w:hint="eastAsia" w:cs="宋体"/>
          <w:sz w:val="28"/>
          <w:szCs w:val="28"/>
        </w:rPr>
        <w:t>货物报价表</w:t>
      </w:r>
      <w:bookmarkEnd w:id="127"/>
      <w:bookmarkEnd w:id="128"/>
      <w:bookmarkEnd w:id="129"/>
    </w:p>
    <w:p>
      <w:pPr>
        <w:pStyle w:val="5"/>
        <w:rPr>
          <w:rFonts w:hAnsi="宋体" w:cs="宋体"/>
        </w:rPr>
      </w:pPr>
    </w:p>
    <w:p>
      <w:pPr>
        <w:spacing w:line="360" w:lineRule="auto"/>
        <w:rPr>
          <w:rFonts w:ascii="宋体" w:hAnsi="宋体"/>
          <w:szCs w:val="21"/>
        </w:rPr>
      </w:pPr>
      <w:r>
        <w:rPr>
          <w:rFonts w:hint="eastAsia" w:ascii="宋体" w:hAnsi="宋体"/>
          <w:szCs w:val="21"/>
        </w:rPr>
        <w:t xml:space="preserve">项目名称：                                                            </w:t>
      </w:r>
    </w:p>
    <w:tbl>
      <w:tblPr>
        <w:tblStyle w:val="6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生产厂家、品牌、型号</w:t>
            </w:r>
          </w:p>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数量</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单价（元）</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4"/>
                <w:szCs w:val="21"/>
              </w:rPr>
            </w:pPr>
            <w:r>
              <w:rPr>
                <w:rFonts w:hint="eastAsia" w:ascii="宋体" w:hAnsi="宋体" w:cs="宋体"/>
                <w:spacing w:val="-4"/>
                <w:szCs w:val="21"/>
              </w:rPr>
              <w:t>总价</w:t>
            </w:r>
          </w:p>
        </w:tc>
        <w:tc>
          <w:tcPr>
            <w:tcW w:w="867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小写：           元</w:t>
            </w:r>
          </w:p>
        </w:tc>
      </w:tr>
    </w:tbl>
    <w:p>
      <w:pPr>
        <w:spacing w:line="360" w:lineRule="auto"/>
        <w:rPr>
          <w:rFonts w:ascii="宋体" w:cs="宋体"/>
          <w:szCs w:val="21"/>
        </w:rPr>
      </w:pPr>
    </w:p>
    <w:p>
      <w:pPr>
        <w:spacing w:line="360" w:lineRule="auto"/>
        <w:rPr>
          <w:rFonts w:ascii="宋体" w:cs="宋体"/>
          <w:szCs w:val="21"/>
        </w:rPr>
      </w:pPr>
      <w:r>
        <w:rPr>
          <w:rFonts w:hint="eastAsia" w:ascii="宋体" w:hAnsi="宋体" w:cs="宋体"/>
          <w:szCs w:val="21"/>
        </w:rPr>
        <w:t>注：供应商可根据实际情况自行填写，但必须注明具体的细目内容，栏目不够可自行添加。</w:t>
      </w:r>
    </w:p>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rPr>
          <w:rFonts w:ascii="宋体" w:hAnsi="宋体" w:cs="宋体"/>
          <w:szCs w:val="21"/>
        </w:rPr>
      </w:pPr>
    </w:p>
    <w:p>
      <w:pPr>
        <w:spacing w:line="360" w:lineRule="auto"/>
        <w:ind w:firstLine="2520" w:firstLineChars="1200"/>
        <w:rPr>
          <w:rFonts w:ascii="宋体" w:hAnsi="宋体" w:cs="宋体"/>
          <w:szCs w:val="21"/>
        </w:rPr>
      </w:pPr>
      <w:r>
        <w:rPr>
          <w:rFonts w:hint="eastAsia" w:ascii="宋体" w:hAnsi="宋体" w:cs="宋体"/>
          <w:szCs w:val="21"/>
        </w:rPr>
        <w:t xml:space="preserve"> 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2"/>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ascii="宋体" w:cs="宋体"/>
          <w:b/>
          <w:bCs/>
          <w:sz w:val="24"/>
        </w:rPr>
      </w:pPr>
    </w:p>
    <w:p>
      <w:pPr>
        <w:spacing w:line="360" w:lineRule="auto"/>
        <w:ind w:firstLine="4760" w:firstLineChars="1700"/>
        <w:rPr>
          <w:rFonts w:ascii="宋体" w:cs="宋体"/>
          <w:szCs w:val="21"/>
        </w:rPr>
      </w:pPr>
      <w:r>
        <w:rPr>
          <w:rFonts w:cs="宋体"/>
          <w:bCs/>
          <w:sz w:val="28"/>
          <w:szCs w:val="28"/>
        </w:rPr>
        <w:t xml:space="preserve"> </w:t>
      </w:r>
      <w:bookmarkEnd w:id="130"/>
      <w:bookmarkStart w:id="131" w:name="_Toc388283751"/>
    </w:p>
    <w:p>
      <w:pPr>
        <w:pStyle w:val="4"/>
        <w:jc w:val="center"/>
        <w:rPr>
          <w:rFonts w:cs="宋体"/>
          <w:sz w:val="28"/>
          <w:szCs w:val="28"/>
        </w:rPr>
      </w:pPr>
      <w:r>
        <w:rPr>
          <w:rFonts w:cs="宋体"/>
          <w:b w:val="0"/>
          <w:bCs/>
          <w:sz w:val="28"/>
          <w:szCs w:val="28"/>
        </w:rPr>
        <w:t xml:space="preserve"> </w:t>
      </w:r>
      <w:bookmarkStart w:id="132" w:name="_Toc476584435"/>
      <w:bookmarkStart w:id="133" w:name="_Toc18853"/>
      <w:bookmarkStart w:id="134" w:name="_Toc54941344"/>
      <w:r>
        <w:rPr>
          <w:rFonts w:hint="eastAsia" w:cs="宋体"/>
          <w:sz w:val="28"/>
          <w:szCs w:val="28"/>
        </w:rPr>
        <w:t>三、技术参数响应表</w:t>
      </w:r>
      <w:bookmarkEnd w:id="132"/>
      <w:bookmarkEnd w:id="133"/>
      <w:bookmarkEnd w:id="134"/>
    </w:p>
    <w:p>
      <w:pPr>
        <w:spacing w:line="360" w:lineRule="auto"/>
        <w:rPr>
          <w:rFonts w:ascii="宋体" w:hAnsi="宋体" w:cs="宋体"/>
          <w:szCs w:val="21"/>
        </w:rPr>
      </w:pPr>
      <w:r>
        <w:rPr>
          <w:rFonts w:hint="eastAsia" w:ascii="宋体" w:hAnsi="宋体" w:cs="宋体"/>
          <w:szCs w:val="21"/>
        </w:rPr>
        <w:t>项目名称：</w:t>
      </w:r>
    </w:p>
    <w:p>
      <w:pPr>
        <w:pStyle w:val="6"/>
        <w:ind w:firstLine="400"/>
      </w:pPr>
    </w:p>
    <w:tbl>
      <w:tblPr>
        <w:tblStyle w:val="60"/>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552"/>
        <w:gridCol w:w="1770"/>
        <w:gridCol w:w="2070"/>
        <w:gridCol w:w="145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557" w:type="dxa"/>
            <w:vAlign w:val="center"/>
          </w:tcPr>
          <w:p>
            <w:pPr>
              <w:spacing w:line="360" w:lineRule="auto"/>
              <w:jc w:val="center"/>
              <w:rPr>
                <w:rFonts w:ascii="宋体" w:hAnsi="宋体"/>
                <w:szCs w:val="21"/>
              </w:rPr>
            </w:pPr>
            <w:r>
              <w:rPr>
                <w:rFonts w:hint="eastAsia" w:ascii="宋体" w:hAnsi="宋体"/>
                <w:szCs w:val="21"/>
              </w:rPr>
              <w:t>序号</w:t>
            </w:r>
          </w:p>
        </w:tc>
        <w:tc>
          <w:tcPr>
            <w:tcW w:w="1552" w:type="dxa"/>
            <w:vAlign w:val="center"/>
          </w:tcPr>
          <w:p>
            <w:pPr>
              <w:spacing w:line="360" w:lineRule="auto"/>
              <w:jc w:val="center"/>
              <w:rPr>
                <w:rFonts w:ascii="宋体" w:hAnsi="宋体"/>
                <w:szCs w:val="21"/>
              </w:rPr>
            </w:pPr>
            <w:r>
              <w:rPr>
                <w:rFonts w:hint="eastAsia" w:ascii="宋体" w:hAnsi="宋体"/>
                <w:szCs w:val="21"/>
              </w:rPr>
              <w:t>货物名称</w:t>
            </w:r>
          </w:p>
        </w:tc>
        <w:tc>
          <w:tcPr>
            <w:tcW w:w="1770" w:type="dxa"/>
            <w:vAlign w:val="center"/>
          </w:tcPr>
          <w:p>
            <w:pPr>
              <w:spacing w:line="360" w:lineRule="auto"/>
              <w:jc w:val="center"/>
              <w:rPr>
                <w:rFonts w:ascii="宋体" w:hAnsi="宋体"/>
                <w:szCs w:val="21"/>
              </w:rPr>
            </w:pPr>
            <w:r>
              <w:rPr>
                <w:rFonts w:hint="eastAsia" w:ascii="宋体" w:hAnsi="宋体"/>
                <w:szCs w:val="21"/>
              </w:rPr>
              <w:t>生产厂家、品牌、型号</w:t>
            </w:r>
          </w:p>
        </w:tc>
        <w:tc>
          <w:tcPr>
            <w:tcW w:w="2070" w:type="dxa"/>
            <w:vAlign w:val="center"/>
          </w:tcPr>
          <w:p>
            <w:pPr>
              <w:spacing w:line="360" w:lineRule="auto"/>
              <w:jc w:val="center"/>
              <w:rPr>
                <w:rFonts w:ascii="宋体" w:hAnsi="宋体"/>
                <w:szCs w:val="21"/>
              </w:rPr>
            </w:pPr>
            <w:r>
              <w:rPr>
                <w:rFonts w:hint="eastAsia" w:ascii="宋体" w:hAnsi="宋体"/>
                <w:szCs w:val="21"/>
              </w:rPr>
              <w:t>响应技术参数</w:t>
            </w:r>
          </w:p>
        </w:tc>
        <w:tc>
          <w:tcPr>
            <w:tcW w:w="1455" w:type="dxa"/>
            <w:vAlign w:val="center"/>
          </w:tcPr>
          <w:p>
            <w:pPr>
              <w:spacing w:line="360" w:lineRule="auto"/>
              <w:jc w:val="center"/>
              <w:rPr>
                <w:rFonts w:ascii="宋体" w:hAnsi="宋体"/>
                <w:szCs w:val="21"/>
              </w:rPr>
            </w:pPr>
            <w:r>
              <w:rPr>
                <w:rFonts w:hint="eastAsia" w:ascii="宋体" w:hAnsi="宋体"/>
                <w:szCs w:val="21"/>
              </w:rPr>
              <w:t>响应情况</w:t>
            </w:r>
          </w:p>
        </w:tc>
        <w:tc>
          <w:tcPr>
            <w:tcW w:w="1470" w:type="dxa"/>
            <w:vAlign w:val="center"/>
          </w:tcPr>
          <w:p>
            <w:pPr>
              <w:spacing w:line="360" w:lineRule="auto"/>
              <w:jc w:val="center"/>
              <w:rPr>
                <w:rFonts w:ascii="宋体" w:hAnsi="宋体"/>
                <w:szCs w:val="21"/>
              </w:rPr>
            </w:pPr>
            <w:r>
              <w:rPr>
                <w:rFonts w:hint="eastAsia" w:ascii="宋体" w:hAnsi="宋体"/>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57" w:type="dxa"/>
            <w:vAlign w:val="center"/>
          </w:tcPr>
          <w:p>
            <w:pPr>
              <w:spacing w:line="360" w:lineRule="auto"/>
              <w:jc w:val="center"/>
              <w:rPr>
                <w:rFonts w:ascii="宋体" w:hAnsi="宋体"/>
                <w:spacing w:val="-4"/>
                <w:szCs w:val="21"/>
              </w:rPr>
            </w:pPr>
          </w:p>
        </w:tc>
        <w:tc>
          <w:tcPr>
            <w:tcW w:w="1552" w:type="dxa"/>
            <w:vAlign w:val="center"/>
          </w:tcPr>
          <w:p>
            <w:pPr>
              <w:spacing w:line="360" w:lineRule="auto"/>
              <w:jc w:val="center"/>
              <w:rPr>
                <w:rFonts w:ascii="宋体" w:hAnsi="宋体"/>
                <w:szCs w:val="21"/>
              </w:rPr>
            </w:pPr>
          </w:p>
        </w:tc>
        <w:tc>
          <w:tcPr>
            <w:tcW w:w="1770" w:type="dxa"/>
          </w:tcPr>
          <w:p>
            <w:pPr>
              <w:spacing w:line="360" w:lineRule="auto"/>
              <w:jc w:val="center"/>
              <w:rPr>
                <w:rFonts w:ascii="宋体" w:hAnsi="宋体"/>
                <w:b/>
                <w:szCs w:val="21"/>
              </w:rPr>
            </w:pPr>
          </w:p>
        </w:tc>
        <w:tc>
          <w:tcPr>
            <w:tcW w:w="2070" w:type="dxa"/>
            <w:vAlign w:val="center"/>
          </w:tcPr>
          <w:p>
            <w:pPr>
              <w:spacing w:line="360" w:lineRule="auto"/>
              <w:jc w:val="center"/>
              <w:rPr>
                <w:rFonts w:ascii="宋体" w:hAnsi="宋体"/>
                <w:b/>
                <w:szCs w:val="21"/>
              </w:rPr>
            </w:pPr>
          </w:p>
        </w:tc>
        <w:tc>
          <w:tcPr>
            <w:tcW w:w="1455" w:type="dxa"/>
            <w:vAlign w:val="center"/>
          </w:tcPr>
          <w:p>
            <w:pPr>
              <w:spacing w:line="360" w:lineRule="auto"/>
              <w:jc w:val="center"/>
              <w:rPr>
                <w:rFonts w:ascii="宋体" w:hAnsi="宋体"/>
                <w:b/>
                <w:szCs w:val="21"/>
              </w:rPr>
            </w:pPr>
          </w:p>
        </w:tc>
        <w:tc>
          <w:tcPr>
            <w:tcW w:w="1470" w:type="dxa"/>
            <w:vAlign w:val="center"/>
          </w:tcPr>
          <w:p>
            <w:pPr>
              <w:spacing w:line="360" w:lineRule="auto"/>
              <w:jc w:val="center"/>
              <w:rPr>
                <w:rFonts w:ascii="宋体" w:hAnsi="宋体"/>
                <w:b/>
                <w:szCs w:val="21"/>
              </w:rPr>
            </w:pPr>
          </w:p>
        </w:tc>
      </w:tr>
    </w:tbl>
    <w:p>
      <w:pPr>
        <w:pStyle w:val="5"/>
      </w:pPr>
    </w:p>
    <w:p>
      <w:pPr>
        <w:tabs>
          <w:tab w:val="left" w:pos="1815"/>
        </w:tabs>
        <w:spacing w:line="360" w:lineRule="auto"/>
        <w:rPr>
          <w:rFonts w:ascii="宋体" w:hAnsi="宋体" w:cs="Arial"/>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货物</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货物</w:t>
      </w:r>
      <w:r>
        <w:rPr>
          <w:rFonts w:ascii="宋体" w:hAnsi="宋体" w:cs="Arial"/>
          <w:szCs w:val="21"/>
        </w:rPr>
        <w:t>与“</w:t>
      </w:r>
      <w:r>
        <w:rPr>
          <w:rFonts w:hint="eastAsia" w:ascii="宋体" w:hAnsi="宋体"/>
          <w:szCs w:val="21"/>
        </w:rPr>
        <w:t>招标技术参数</w:t>
      </w:r>
      <w:r>
        <w:rPr>
          <w:rFonts w:ascii="宋体" w:hAnsi="宋体" w:cs="Arial"/>
          <w:szCs w:val="21"/>
        </w:rPr>
        <w:t>”的差异情况，实事求是地填写“响应情况”（优于、满足、不满足） 。</w:t>
      </w:r>
    </w:p>
    <w:p>
      <w:pPr>
        <w:pStyle w:val="418"/>
        <w:tabs>
          <w:tab w:val="left" w:pos="1815"/>
        </w:tabs>
        <w:spacing w:line="360" w:lineRule="auto"/>
        <w:ind w:left="420" w:firstLine="0" w:firstLineChars="0"/>
        <w:rPr>
          <w:rFonts w:ascii="宋体" w:hAnsi="宋体" w:cs="宋体"/>
          <w:szCs w:val="21"/>
        </w:rPr>
      </w:pPr>
      <w:r>
        <w:rPr>
          <w:rFonts w:hint="eastAsia" w:ascii="宋体" w:hAnsi="宋体" w:cs="宋体"/>
          <w:szCs w:val="21"/>
        </w:rPr>
        <w:t>3、</w:t>
      </w:r>
      <w:r>
        <w:rPr>
          <w:rFonts w:hint="eastAsia" w:ascii="宋体" w:hAnsi="宋体" w:cs="Arial"/>
          <w:b/>
          <w:szCs w:val="21"/>
        </w:rPr>
        <w:t>若投标人</w:t>
      </w:r>
      <w:r>
        <w:rPr>
          <w:rFonts w:hint="eastAsia" w:ascii="宋体" w:hAnsi="宋体"/>
          <w:b/>
          <w:bCs/>
          <w:szCs w:val="21"/>
        </w:rPr>
        <w:t>所投货物为进口产品的，必须在表中明确列出所投进口产品的原产地。</w:t>
      </w:r>
    </w:p>
    <w:p>
      <w:pPr>
        <w:tabs>
          <w:tab w:val="left" w:pos="1815"/>
        </w:tabs>
        <w:spacing w:line="360" w:lineRule="auto"/>
        <w:rPr>
          <w:rFonts w:ascii="宋体" w:cs="宋体"/>
          <w:strike/>
          <w:szCs w:val="21"/>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rPr>
          <w:rFonts w:ascii="宋体" w:hAnsi="宋体" w:cs="宋体"/>
          <w:szCs w:val="21"/>
        </w:rPr>
      </w:pPr>
    </w:p>
    <w:p>
      <w:pPr>
        <w:spacing w:line="360" w:lineRule="auto"/>
        <w:ind w:firstLine="2730" w:firstLineChars="1300"/>
        <w:rPr>
          <w:rFonts w:ascii="宋体" w:hAnsi="宋体" w:cs="宋体"/>
          <w:szCs w:val="21"/>
        </w:rPr>
      </w:pPr>
      <w:r>
        <w:rPr>
          <w:rFonts w:hint="eastAsia" w:ascii="宋体" w:hAnsi="宋体" w:cs="宋体"/>
          <w:szCs w:val="21"/>
        </w:rPr>
        <w:t xml:space="preserve"> 法定代表人或委托代理人： </w:t>
      </w:r>
      <w:r>
        <w:rPr>
          <w:rFonts w:hint="eastAsia" w:ascii="宋体" w:hAnsi="宋体" w:cs="宋体"/>
          <w:szCs w:val="21"/>
          <w:u w:val="single"/>
        </w:rPr>
        <w:t xml:space="preserve">              </w:t>
      </w:r>
      <w:r>
        <w:rPr>
          <w:rFonts w:hint="eastAsia" w:ascii="宋体" w:hAnsi="宋体" w:cs="宋体"/>
          <w:szCs w:val="21"/>
        </w:rPr>
        <w:t xml:space="preserve"> (签字或盖章)</w:t>
      </w:r>
    </w:p>
    <w:p>
      <w:pPr>
        <w:pStyle w:val="2"/>
      </w:pPr>
    </w:p>
    <w:p>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bookmarkEnd w:id="131"/>
    <w:p>
      <w:pPr>
        <w:spacing w:line="360" w:lineRule="auto"/>
        <w:ind w:left="2833" w:leftChars="1349"/>
        <w:rPr>
          <w:rFonts w:ascii="宋体"/>
          <w:szCs w:val="21"/>
        </w:rPr>
      </w:pPr>
      <w:bookmarkStart w:id="135" w:name="_Toc476584436"/>
      <w:bookmarkStart w:id="136" w:name="_Toc15038"/>
    </w:p>
    <w:p>
      <w:pPr>
        <w:pStyle w:val="4"/>
        <w:numPr>
          <w:ilvl w:val="0"/>
          <w:numId w:val="10"/>
        </w:numPr>
        <w:jc w:val="center"/>
        <w:rPr>
          <w:rFonts w:cs="宋体"/>
          <w:sz w:val="28"/>
          <w:szCs w:val="28"/>
        </w:rPr>
      </w:pPr>
      <w:bookmarkStart w:id="137" w:name="_Toc54941345"/>
      <w:r>
        <w:rPr>
          <w:rFonts w:hint="eastAsia" w:cs="宋体"/>
          <w:sz w:val="28"/>
          <w:szCs w:val="28"/>
        </w:rPr>
        <w:t>最后报价表</w:t>
      </w:r>
      <w:bookmarkEnd w:id="137"/>
    </w:p>
    <w:p>
      <w:pPr>
        <w:pStyle w:val="5"/>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6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463" w:type="dxa"/>
            <w:vAlign w:val="center"/>
          </w:tcPr>
          <w:p>
            <w:pPr>
              <w:spacing w:line="400" w:lineRule="exact"/>
              <w:ind w:firstLine="120" w:firstLineChars="50"/>
              <w:jc w:val="center"/>
              <w:rPr>
                <w:sz w:val="24"/>
              </w:rPr>
            </w:pPr>
            <w:r>
              <w:rPr>
                <w:rFonts w:hint="eastAsia"/>
                <w:sz w:val="24"/>
              </w:rPr>
              <w:t>交货、安装、调试期</w:t>
            </w:r>
          </w:p>
        </w:tc>
        <w:tc>
          <w:tcPr>
            <w:tcW w:w="8167" w:type="dxa"/>
            <w:vAlign w:val="center"/>
          </w:tcPr>
          <w:p>
            <w:pPr>
              <w:spacing w:line="400" w:lineRule="exact"/>
              <w:rPr>
                <w:sz w:val="24"/>
              </w:rPr>
            </w:pPr>
            <w:r>
              <w:rPr>
                <w:rFonts w:hint="eastAsia" w:ascii="宋体" w:hAnsi="宋体" w:cs="宋体"/>
                <w:color w:val="000000"/>
                <w:szCs w:val="21"/>
              </w:rPr>
              <w:t>合同签订之日起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此表请各供应商准备好，以便在磋商时报价使用。此表由供应商在磋商后</w:t>
      </w:r>
      <w:r>
        <w:rPr>
          <w:rFonts w:hint="eastAsia" w:ascii="宋体" w:hAnsi="宋体" w:cs="宋体"/>
          <w:b/>
          <w:sz w:val="24"/>
        </w:rPr>
        <w:t>通过邮箱</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2730" w:firstLineChars="1300"/>
        <w:rPr>
          <w:rFonts w:ascii="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 xml:space="preserve"> (签字或盖章)</w:t>
      </w:r>
    </w:p>
    <w:p>
      <w:pPr>
        <w:spacing w:line="360" w:lineRule="auto"/>
        <w:ind w:firstLine="3570" w:firstLineChars="1700"/>
        <w:rPr>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bookmarkEnd w:id="135"/>
    <w:bookmarkEnd w:id="136"/>
    <w:p>
      <w:pPr>
        <w:spacing w:line="360" w:lineRule="auto"/>
        <w:rPr>
          <w:rFonts w:ascii="宋体"/>
          <w:szCs w:val="21"/>
        </w:rPr>
      </w:pPr>
    </w:p>
    <w:p>
      <w:pPr>
        <w:pStyle w:val="4"/>
        <w:numPr>
          <w:ilvl w:val="0"/>
          <w:numId w:val="10"/>
        </w:numPr>
        <w:jc w:val="center"/>
      </w:pPr>
      <w:r>
        <w:rPr>
          <w:rFonts w:hint="eastAsia" w:cs="宋体"/>
          <w:sz w:val="28"/>
          <w:szCs w:val="28"/>
        </w:rPr>
        <w:t>供货安装及售后服务方案</w:t>
      </w:r>
    </w:p>
    <w:p>
      <w:pPr>
        <w:spacing w:line="360" w:lineRule="auto"/>
        <w:ind w:firstLine="420" w:firstLineChars="200"/>
        <w:rPr>
          <w:rFonts w:ascii="宋体" w:cs="宋体"/>
          <w:szCs w:val="21"/>
        </w:rPr>
      </w:pPr>
      <w:r>
        <w:rPr>
          <w:rFonts w:hint="eastAsia" w:ascii="宋体" w:hAnsi="宋体"/>
          <w:szCs w:val="21"/>
        </w:rPr>
        <w:t>供应商依据第四章“货物需求及技术要求”并结合评分细则的要求自行提供</w:t>
      </w:r>
      <w:r>
        <w:rPr>
          <w:rFonts w:hint="eastAsia" w:ascii="宋体" w:hAnsi="宋体" w:cs="宋体"/>
          <w:szCs w:val="21"/>
        </w:rPr>
        <w:t>。</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2"/>
        <w:rPr>
          <w:rFonts w:cs="宋体"/>
          <w:szCs w:val="21"/>
        </w:rPr>
      </w:pPr>
    </w:p>
    <w:p>
      <w:pPr>
        <w:rPr>
          <w:rFonts w:ascii="宋体" w:cs="宋体"/>
          <w:szCs w:val="21"/>
        </w:rPr>
      </w:pPr>
    </w:p>
    <w:p>
      <w:pPr>
        <w:pStyle w:val="2"/>
        <w:rPr>
          <w:rFonts w:cs="宋体"/>
          <w:szCs w:val="21"/>
        </w:rPr>
      </w:pPr>
    </w:p>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4"/>
        <w:jc w:val="center"/>
        <w:rPr>
          <w:rFonts w:cs="宋体"/>
          <w:sz w:val="28"/>
          <w:szCs w:val="28"/>
        </w:rPr>
      </w:pPr>
      <w:bookmarkStart w:id="138" w:name="_Toc54941347"/>
      <w:bookmarkStart w:id="139" w:name="_Toc476584437"/>
      <w:bookmarkStart w:id="140" w:name="_Toc19236"/>
      <w:r>
        <w:rPr>
          <w:rFonts w:hint="eastAsia" w:cs="宋体"/>
          <w:sz w:val="28"/>
          <w:szCs w:val="28"/>
        </w:rPr>
        <w:t>六、诚信响应承诺书</w:t>
      </w:r>
      <w:bookmarkEnd w:id="138"/>
      <w:bookmarkEnd w:id="139"/>
      <w:bookmarkEnd w:id="140"/>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十一、我方保证对本次磋商活动有任何质疑或投诉，都依法在约定的时间内提出。否则，不针对本次磋商活动提出任何质疑或投诉。</w:t>
      </w:r>
    </w:p>
    <w:p>
      <w:pPr>
        <w:spacing w:line="440" w:lineRule="exact"/>
        <w:ind w:firstLine="482" w:firstLineChars="200"/>
        <w:rPr>
          <w:rFonts w:ascii="宋体" w:hAns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pStyle w:val="2"/>
      </w:pP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供应商（公章）：</w:t>
      </w:r>
    </w:p>
    <w:p>
      <w:pPr>
        <w:widowControl/>
        <w:ind w:firstLine="3132" w:firstLineChars="1300"/>
        <w:jc w:val="left"/>
        <w:rPr>
          <w:rFonts w:ascii="宋体" w:cs="宋体"/>
        </w:rPr>
      </w:pPr>
      <w:r>
        <w:rPr>
          <w:rFonts w:hint="eastAsia" w:ascii="宋体" w:hAnsi="宋体" w:cs="宋体"/>
          <w:b/>
          <w:sz w:val="24"/>
        </w:rPr>
        <w:t>法定代表人或委托代理人：       (签字或盖章)：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2"/>
        <w:rPr>
          <w:rFonts w:cs="宋体"/>
          <w:bCs/>
        </w:rPr>
      </w:pPr>
    </w:p>
    <w:p/>
    <w:p>
      <w:pPr>
        <w:pStyle w:val="6"/>
        <w:ind w:firstLine="400"/>
        <w:rPr>
          <w:rFonts w:cs="宋体"/>
        </w:rPr>
      </w:pPr>
      <w:bookmarkStart w:id="141" w:name="_Toc54941350"/>
      <w:bookmarkStart w:id="142" w:name="_Toc476584438"/>
    </w:p>
    <w:p>
      <w:pPr>
        <w:pStyle w:val="4"/>
        <w:jc w:val="center"/>
        <w:rPr>
          <w:rFonts w:cs="宋体"/>
          <w:bdr w:val="single" w:color="auto" w:sz="4" w:space="0"/>
        </w:rPr>
      </w:pPr>
      <w:r>
        <w:rPr>
          <w:rFonts w:hint="eastAsia" w:cs="宋体"/>
        </w:rPr>
        <w:t>七、磋商证明文件</w:t>
      </w:r>
      <w:bookmarkEnd w:id="141"/>
      <w:bookmarkEnd w:id="142"/>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ascii="宋体" w:hAnsi="宋体" w:cs="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left="422"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420" w:leftChars="200"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left="422"/>
        <w:rPr>
          <w:rFonts w:ascii="宋体" w:hAnsi="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4、法定代表人身份证明书（格式见附件）及其有效二代居民身份证；</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ascii="宋体" w:hAnsi="宋体"/>
          <w:szCs w:val="21"/>
        </w:rPr>
      </w:pPr>
      <w:r>
        <w:rPr>
          <w:rFonts w:hint="eastAsia" w:ascii="宋体" w:hAnsi="宋体"/>
          <w:szCs w:val="21"/>
        </w:rPr>
        <w:t>（若供应商为事业单位性质或社会团体性质，则提供事业法人或社会团体法人的授权委托书及委托代理人有效二代居民身份证）</w:t>
      </w:r>
    </w:p>
    <w:p>
      <w:pPr>
        <w:spacing w:line="360" w:lineRule="auto"/>
        <w:ind w:firstLine="420" w:firstLineChars="200"/>
        <w:rPr>
          <w:rFonts w:ascii="宋体" w:hAnsi="宋体" w:cs="宋体"/>
          <w:szCs w:val="21"/>
        </w:rPr>
      </w:pPr>
      <w:r>
        <w:rPr>
          <w:rFonts w:hint="eastAsia" w:ascii="宋体" w:hAnsi="宋体" w:cs="宋体"/>
          <w:szCs w:val="21"/>
        </w:rPr>
        <w:t>6、履行合同所必需的设备专业技术能力证明文件 （根据项目需要供应商决定是否填写）</w:t>
      </w:r>
    </w:p>
    <w:p>
      <w:pPr>
        <w:spacing w:line="360" w:lineRule="auto"/>
        <w:rPr>
          <w:rFonts w:ascii="宋体" w:hAnsi="宋体" w:cs="宋体"/>
          <w:szCs w:val="21"/>
        </w:rPr>
      </w:pPr>
      <w:r>
        <w:rPr>
          <w:rFonts w:hint="eastAsia" w:ascii="宋体" w:hAnsi="宋体" w:cs="宋体"/>
          <w:szCs w:val="21"/>
        </w:rPr>
        <w:t>（1）服务于本项目的专业设备一览表</w:t>
      </w:r>
    </w:p>
    <w:tbl>
      <w:tblPr>
        <w:tblStyle w:val="60"/>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（2）服务本项目人员一览表</w:t>
      </w:r>
    </w:p>
    <w:tbl>
      <w:tblPr>
        <w:tblStyle w:val="60"/>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0" w:type="dxa"/>
            <w:textDirection w:val="tbRlV"/>
            <w:vAlign w:val="center"/>
          </w:tcPr>
          <w:p>
            <w:pPr>
              <w:spacing w:before="100" w:beforeAutospacing="1" w:after="100" w:afterAutospacing="1" w:line="360" w:lineRule="auto"/>
              <w:rPr>
                <w:rFonts w:ascii="宋体" w:hAnsi="宋体" w:cs="宋体"/>
                <w:szCs w:val="21"/>
              </w:rPr>
            </w:pPr>
            <w:r>
              <w:rPr>
                <w:rFonts w:hint="eastAsia" w:ascii="宋体" w:hAnsi="宋体" w:cs="宋体"/>
                <w:szCs w:val="21"/>
              </w:rPr>
              <w:t>其他</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bl>
    <w:p>
      <w:pPr>
        <w:spacing w:line="360" w:lineRule="auto"/>
        <w:rPr>
          <w:rFonts w:ascii="宋体" w:hAnsi="宋体" w:cs="宋体"/>
          <w:szCs w:val="21"/>
        </w:rPr>
      </w:pPr>
    </w:p>
    <w:p>
      <w:pPr>
        <w:spacing w:line="360" w:lineRule="auto"/>
        <w:ind w:firstLine="420" w:firstLineChars="200"/>
        <w:rPr>
          <w:rFonts w:ascii="宋体" w:cs="宋体"/>
          <w:b/>
          <w:spacing w:val="-4"/>
          <w:kern w:val="0"/>
          <w:szCs w:val="21"/>
        </w:rPr>
      </w:pPr>
      <w:r>
        <w:rPr>
          <w:rFonts w:hint="eastAsia" w:ascii="宋体" w:hAnsi="宋体" w:cs="宋体"/>
          <w:szCs w:val="21"/>
        </w:rPr>
        <w:t>7、本项目磋商文件中要求供应商提供的其他证明材料。</w:t>
      </w:r>
    </w:p>
    <w:p>
      <w:pPr>
        <w:widowControl/>
        <w:spacing w:line="500" w:lineRule="exact"/>
        <w:ind w:firstLine="420" w:firstLineChars="200"/>
        <w:jc w:val="left"/>
        <w:rPr>
          <w:rFonts w:ascii="宋体" w:hAnsi="宋体" w:cs="宋体"/>
          <w:szCs w:val="21"/>
        </w:rPr>
      </w:pPr>
      <w:r>
        <w:rPr>
          <w:rFonts w:hint="eastAsia" w:ascii="宋体" w:hAnsi="宋体" w:cs="宋体"/>
          <w:szCs w:val="21"/>
        </w:rPr>
        <w:t>8、须提供上述证明材料复印件或扫描件或影印件。</w:t>
      </w:r>
    </w:p>
    <w:p>
      <w:pPr>
        <w:spacing w:line="360" w:lineRule="auto"/>
        <w:ind w:firstLine="546" w:firstLineChars="200"/>
        <w:rPr>
          <w:rFonts w:ascii="宋体" w:hAnsi="宋体" w:cs="宋体"/>
          <w:b/>
          <w:spacing w:val="-4"/>
          <w:kern w:val="0"/>
          <w:sz w:val="28"/>
          <w:szCs w:val="28"/>
        </w:rPr>
      </w:pPr>
      <w:r>
        <w:rPr>
          <w:rFonts w:hint="eastAsia" w:ascii="宋体" w:hAnsi="宋体" w:cs="宋体"/>
          <w:b/>
          <w:spacing w:val="-4"/>
          <w:kern w:val="0"/>
          <w:sz w:val="28"/>
          <w:szCs w:val="28"/>
        </w:rPr>
        <w:t>附件：</w:t>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授权书</w:t>
      </w:r>
    </w:p>
    <w:p>
      <w:pPr>
        <w:pStyle w:val="31"/>
        <w:snapToGrid w:val="0"/>
        <w:spacing w:line="360" w:lineRule="auto"/>
        <w:ind w:firstLine="480" w:firstLineChars="200"/>
        <w:jc w:val="left"/>
        <w:rPr>
          <w:rFonts w:hAnsi="宋体"/>
          <w:sz w:val="24"/>
          <w:szCs w:val="28"/>
        </w:rPr>
      </w:pPr>
    </w:p>
    <w:p>
      <w:pPr>
        <w:pStyle w:val="3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3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3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31"/>
        <w:snapToGrid w:val="0"/>
        <w:spacing w:line="360" w:lineRule="auto"/>
        <w:ind w:firstLine="480" w:firstLineChars="200"/>
        <w:jc w:val="left"/>
        <w:rPr>
          <w:rFonts w:hAnsi="宋体"/>
          <w:sz w:val="24"/>
        </w:rPr>
      </w:pPr>
    </w:p>
    <w:p>
      <w:pPr>
        <w:pStyle w:val="3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31"/>
        <w:snapToGrid w:val="0"/>
        <w:spacing w:line="360" w:lineRule="auto"/>
        <w:jc w:val="left"/>
        <w:rPr>
          <w:rFonts w:hAnsi="宋体"/>
          <w:sz w:val="24"/>
          <w:szCs w:val="28"/>
        </w:rPr>
      </w:pPr>
      <w:r>
        <w:rPr>
          <w:rFonts w:hint="eastAsia" w:hAnsi="宋体"/>
          <w:sz w:val="24"/>
          <w:szCs w:val="28"/>
        </w:rPr>
        <w:t>注：</w:t>
      </w:r>
    </w:p>
    <w:p>
      <w:pPr>
        <w:pStyle w:val="3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2.法定代表人参加磋商的无需提供授权书，提供身份证明扫描件和营业执照复印件。</w:t>
      </w:r>
    </w:p>
    <w:p>
      <w:pPr>
        <w:wordWrap w:val="0"/>
        <w:spacing w:line="360" w:lineRule="auto"/>
        <w:ind w:right="480" w:firstLine="406" w:firstLineChars="200"/>
        <w:rPr>
          <w:rFonts w:ascii="宋体" w:cs="宋体"/>
          <w:b/>
          <w:spacing w:val="-4"/>
          <w:kern w:val="0"/>
          <w:szCs w:val="21"/>
        </w:rPr>
      </w:pPr>
    </w:p>
    <w:p>
      <w:pPr>
        <w:spacing w:line="360" w:lineRule="auto"/>
        <w:ind w:firstLine="630" w:firstLineChars="300"/>
        <w:rPr>
          <w:rFonts w:ascii="宋体" w:hAnsi="宋体" w:cs="宋体"/>
          <w:szCs w:val="21"/>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eastAsia="楷体_GB2312"/>
        <w:i/>
      </w:rPr>
    </w:pPr>
    <w:r>
      <w:rPr>
        <w:rFonts w:hint="eastAsia" w:eastAsia="楷体_GB2312"/>
        <w:i/>
      </w:rPr>
      <w:t xml:space="preserve">                                     安庆黄镇生平事迹陈列馆信息化零星设备及新馆安检设备采购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B5A37"/>
    <w:multiLevelType w:val="singleLevel"/>
    <w:tmpl w:val="BB7B5A37"/>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1"/>
      <w:lvlText w:val=""/>
      <w:lvlJc w:val="left"/>
      <w:pPr>
        <w:tabs>
          <w:tab w:val="left" w:pos="360"/>
        </w:tabs>
        <w:ind w:left="360" w:hanging="360"/>
      </w:pPr>
      <w:rPr>
        <w:rFonts w:hint="default" w:ascii="Symbol" w:hAnsi="Symbol"/>
      </w:rPr>
    </w:lvl>
  </w:abstractNum>
  <w:abstractNum w:abstractNumId="3">
    <w:nsid w:val="0000000A"/>
    <w:multiLevelType w:val="singleLevel"/>
    <w:tmpl w:val="0000000A"/>
    <w:lvl w:ilvl="0" w:tentative="0">
      <w:start w:val="3"/>
      <w:numFmt w:val="chineseCounting"/>
      <w:suff w:val="nothing"/>
      <w:lvlText w:val="%1、"/>
      <w:lvlJc w:val="left"/>
      <w:rPr>
        <w:rFonts w:cs="Times New Roman"/>
      </w:rPr>
    </w:lvl>
  </w:abstractNum>
  <w:abstractNum w:abstractNumId="4">
    <w:nsid w:val="0000000C"/>
    <w:multiLevelType w:val="singleLevel"/>
    <w:tmpl w:val="0000000C"/>
    <w:lvl w:ilvl="0" w:tentative="0">
      <w:start w:val="1"/>
      <w:numFmt w:val="chineseCounting"/>
      <w:suff w:val="nothing"/>
      <w:lvlText w:val="%1、"/>
      <w:lvlJc w:val="left"/>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8"/>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6"/>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7"/>
    <w:multiLevelType w:val="singleLevel"/>
    <w:tmpl w:val="00000017"/>
    <w:lvl w:ilvl="0" w:tentative="0">
      <w:start w:val="11"/>
      <w:numFmt w:val="decimal"/>
      <w:suff w:val="nothing"/>
      <w:lvlText w:val="%1、"/>
      <w:lvlJc w:val="left"/>
      <w:rPr>
        <w:rFonts w:cs="Times New Roman"/>
      </w:rPr>
    </w:lvl>
  </w:abstractNum>
  <w:abstractNum w:abstractNumId="8">
    <w:nsid w:val="00000018"/>
    <w:multiLevelType w:val="singleLevel"/>
    <w:tmpl w:val="00000018"/>
    <w:lvl w:ilvl="0" w:tentative="0">
      <w:start w:val="4"/>
      <w:numFmt w:val="chineseCounting"/>
      <w:suff w:val="nothing"/>
      <w:lvlText w:val="%1、"/>
      <w:lvlJc w:val="left"/>
      <w:rPr>
        <w:rFonts w:cs="Times New Roman"/>
      </w:rPr>
    </w:lvl>
  </w:abstractNum>
  <w:abstractNum w:abstractNumId="9">
    <w:nsid w:val="24366283"/>
    <w:multiLevelType w:val="multilevel"/>
    <w:tmpl w:val="24366283"/>
    <w:lvl w:ilvl="0" w:tentative="0">
      <w:start w:val="1"/>
      <w:numFmt w:val="decimal"/>
      <w:pStyle w:val="353"/>
      <w:lvlText w:val="%1"/>
      <w:lvlJc w:val="left"/>
      <w:pPr>
        <w:tabs>
          <w:tab w:val="left" w:pos="567"/>
        </w:tabs>
        <w:ind w:left="567" w:hanging="567"/>
      </w:pPr>
      <w:rPr>
        <w:rFonts w:hint="eastAsia" w:cs="Times New Roman"/>
      </w:rPr>
    </w:lvl>
    <w:lvl w:ilvl="1" w:tentative="0">
      <w:start w:val="1"/>
      <w:numFmt w:val="decimal"/>
      <w:pStyle w:val="350"/>
      <w:lvlText w:val="%1.%2"/>
      <w:lvlJc w:val="left"/>
      <w:pPr>
        <w:tabs>
          <w:tab w:val="left" w:pos="1004"/>
        </w:tabs>
        <w:ind w:left="567" w:hanging="283"/>
      </w:pPr>
      <w:rPr>
        <w:rFonts w:hint="eastAsia" w:cs="Times New Roman"/>
      </w:rPr>
    </w:lvl>
    <w:lvl w:ilvl="2" w:tentative="0">
      <w:start w:val="1"/>
      <w:numFmt w:val="decimal"/>
      <w:pStyle w:val="349"/>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6"/>
  </w:num>
  <w:num w:numId="3">
    <w:abstractNumId w:val="9"/>
  </w:num>
  <w:num w:numId="4">
    <w:abstractNumId w:val="2"/>
  </w:num>
  <w:num w:numId="5">
    <w:abstractNumId w:val="3"/>
  </w:num>
  <w:num w:numId="6">
    <w:abstractNumId w:val="7"/>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N2M5OGZkMjBjNWZiNTJkZjllNWZkNmJmOTQzNTYifQ=="/>
  </w:docVars>
  <w:rsids>
    <w:rsidRoot w:val="00172A27"/>
    <w:rsid w:val="00010694"/>
    <w:rsid w:val="000235B5"/>
    <w:rsid w:val="0002413E"/>
    <w:rsid w:val="00024F9F"/>
    <w:rsid w:val="000370E3"/>
    <w:rsid w:val="000507E8"/>
    <w:rsid w:val="00054A66"/>
    <w:rsid w:val="00064474"/>
    <w:rsid w:val="00064AE1"/>
    <w:rsid w:val="00071B99"/>
    <w:rsid w:val="00072C34"/>
    <w:rsid w:val="00073044"/>
    <w:rsid w:val="0007476A"/>
    <w:rsid w:val="00086803"/>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94358"/>
    <w:rsid w:val="002978A1"/>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6146"/>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9744B"/>
    <w:rsid w:val="006A479F"/>
    <w:rsid w:val="006B1B74"/>
    <w:rsid w:val="006B3D08"/>
    <w:rsid w:val="006B43C0"/>
    <w:rsid w:val="006C09C6"/>
    <w:rsid w:val="006C6A6D"/>
    <w:rsid w:val="006D61A6"/>
    <w:rsid w:val="006E68C8"/>
    <w:rsid w:val="006F7843"/>
    <w:rsid w:val="007218F9"/>
    <w:rsid w:val="00721FCA"/>
    <w:rsid w:val="007230C0"/>
    <w:rsid w:val="00723B64"/>
    <w:rsid w:val="00726AD2"/>
    <w:rsid w:val="0072738C"/>
    <w:rsid w:val="00730754"/>
    <w:rsid w:val="00730852"/>
    <w:rsid w:val="007331E4"/>
    <w:rsid w:val="00741C13"/>
    <w:rsid w:val="007430F0"/>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16568"/>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1FEE"/>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0C43"/>
    <w:rsid w:val="00A828AE"/>
    <w:rsid w:val="00A86320"/>
    <w:rsid w:val="00AA4034"/>
    <w:rsid w:val="00AB0660"/>
    <w:rsid w:val="00AB4713"/>
    <w:rsid w:val="00AB5EDD"/>
    <w:rsid w:val="00AB7A64"/>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2710"/>
    <w:rsid w:val="00BA6247"/>
    <w:rsid w:val="00BA791D"/>
    <w:rsid w:val="00BC0B72"/>
    <w:rsid w:val="00BD7EBA"/>
    <w:rsid w:val="00BE0AB0"/>
    <w:rsid w:val="00BE2AAA"/>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C19CB"/>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0B2"/>
    <w:rsid w:val="00EB6CC4"/>
    <w:rsid w:val="00EC000B"/>
    <w:rsid w:val="00EC1E1E"/>
    <w:rsid w:val="00EC2DCD"/>
    <w:rsid w:val="00EC4D04"/>
    <w:rsid w:val="00ED22A1"/>
    <w:rsid w:val="00EE37CA"/>
    <w:rsid w:val="00EE5BB5"/>
    <w:rsid w:val="00EF2567"/>
    <w:rsid w:val="00F036C9"/>
    <w:rsid w:val="00F04AD7"/>
    <w:rsid w:val="00F23563"/>
    <w:rsid w:val="00F350B4"/>
    <w:rsid w:val="00F4261A"/>
    <w:rsid w:val="00F46EA7"/>
    <w:rsid w:val="00F629E7"/>
    <w:rsid w:val="00F7647B"/>
    <w:rsid w:val="00F9508F"/>
    <w:rsid w:val="00FA728E"/>
    <w:rsid w:val="00FB57EE"/>
    <w:rsid w:val="00FB654E"/>
    <w:rsid w:val="00FC682E"/>
    <w:rsid w:val="00FD138A"/>
    <w:rsid w:val="00FE506C"/>
    <w:rsid w:val="00FF22A3"/>
    <w:rsid w:val="00FF323D"/>
    <w:rsid w:val="01542A16"/>
    <w:rsid w:val="018D0F17"/>
    <w:rsid w:val="01A93FA3"/>
    <w:rsid w:val="01DA226F"/>
    <w:rsid w:val="01E74ACC"/>
    <w:rsid w:val="022540C0"/>
    <w:rsid w:val="02380E83"/>
    <w:rsid w:val="02402FD0"/>
    <w:rsid w:val="02587777"/>
    <w:rsid w:val="02647AB9"/>
    <w:rsid w:val="02C62933"/>
    <w:rsid w:val="02CD5A6F"/>
    <w:rsid w:val="03810293"/>
    <w:rsid w:val="039C3694"/>
    <w:rsid w:val="03E76FAA"/>
    <w:rsid w:val="03F01F3C"/>
    <w:rsid w:val="04500CD8"/>
    <w:rsid w:val="045301F6"/>
    <w:rsid w:val="04545C04"/>
    <w:rsid w:val="046B1538"/>
    <w:rsid w:val="048B7990"/>
    <w:rsid w:val="04A44EF6"/>
    <w:rsid w:val="04C764E3"/>
    <w:rsid w:val="04F33787"/>
    <w:rsid w:val="04FA0684"/>
    <w:rsid w:val="05003865"/>
    <w:rsid w:val="05104339"/>
    <w:rsid w:val="054166BC"/>
    <w:rsid w:val="05445D91"/>
    <w:rsid w:val="05581771"/>
    <w:rsid w:val="058101E9"/>
    <w:rsid w:val="05C07B0D"/>
    <w:rsid w:val="05D37841"/>
    <w:rsid w:val="05D978C8"/>
    <w:rsid w:val="05DD4740"/>
    <w:rsid w:val="060379FA"/>
    <w:rsid w:val="06233BF8"/>
    <w:rsid w:val="062C2087"/>
    <w:rsid w:val="06317D0E"/>
    <w:rsid w:val="0680729D"/>
    <w:rsid w:val="06823015"/>
    <w:rsid w:val="06B833C2"/>
    <w:rsid w:val="06F537E7"/>
    <w:rsid w:val="0765096C"/>
    <w:rsid w:val="07697D31"/>
    <w:rsid w:val="07723089"/>
    <w:rsid w:val="078B7CA7"/>
    <w:rsid w:val="078D7EC3"/>
    <w:rsid w:val="07AA637F"/>
    <w:rsid w:val="07B23486"/>
    <w:rsid w:val="07FE66CB"/>
    <w:rsid w:val="08006F3A"/>
    <w:rsid w:val="08236132"/>
    <w:rsid w:val="08607386"/>
    <w:rsid w:val="08AA4E14"/>
    <w:rsid w:val="08CF504F"/>
    <w:rsid w:val="090D306A"/>
    <w:rsid w:val="0926237D"/>
    <w:rsid w:val="09383E5F"/>
    <w:rsid w:val="093A7267"/>
    <w:rsid w:val="09440A55"/>
    <w:rsid w:val="09607210"/>
    <w:rsid w:val="09806621"/>
    <w:rsid w:val="09C6146A"/>
    <w:rsid w:val="0A283ED3"/>
    <w:rsid w:val="0A312D88"/>
    <w:rsid w:val="0A521029"/>
    <w:rsid w:val="0A544CC8"/>
    <w:rsid w:val="0A682522"/>
    <w:rsid w:val="0A9E3535"/>
    <w:rsid w:val="0AD876A7"/>
    <w:rsid w:val="0AF65D7F"/>
    <w:rsid w:val="0B534F80"/>
    <w:rsid w:val="0B6131F9"/>
    <w:rsid w:val="0B6D5859"/>
    <w:rsid w:val="0BA94BA0"/>
    <w:rsid w:val="0BDC4024"/>
    <w:rsid w:val="0BFF1026"/>
    <w:rsid w:val="0C0B7609"/>
    <w:rsid w:val="0C882A07"/>
    <w:rsid w:val="0C9D4705"/>
    <w:rsid w:val="0CAF61E6"/>
    <w:rsid w:val="0CCC3F2E"/>
    <w:rsid w:val="0CDA7698"/>
    <w:rsid w:val="0CEF0CD8"/>
    <w:rsid w:val="0D335069"/>
    <w:rsid w:val="0D844B1B"/>
    <w:rsid w:val="0DC932D7"/>
    <w:rsid w:val="0DCE08EE"/>
    <w:rsid w:val="0DDC300B"/>
    <w:rsid w:val="0DE47BD9"/>
    <w:rsid w:val="0E361188"/>
    <w:rsid w:val="0E546E3C"/>
    <w:rsid w:val="0E5B4877"/>
    <w:rsid w:val="0E657677"/>
    <w:rsid w:val="0E796AAB"/>
    <w:rsid w:val="0EB2371F"/>
    <w:rsid w:val="0EB6385C"/>
    <w:rsid w:val="0EE02FCE"/>
    <w:rsid w:val="0EE4486D"/>
    <w:rsid w:val="0F2F51A0"/>
    <w:rsid w:val="0F8B118C"/>
    <w:rsid w:val="0FB806AD"/>
    <w:rsid w:val="10757746"/>
    <w:rsid w:val="108856CC"/>
    <w:rsid w:val="109A0F5B"/>
    <w:rsid w:val="10CF6E57"/>
    <w:rsid w:val="10E34306"/>
    <w:rsid w:val="10EB7E81"/>
    <w:rsid w:val="1134315E"/>
    <w:rsid w:val="11673533"/>
    <w:rsid w:val="11A91179"/>
    <w:rsid w:val="11CE77AD"/>
    <w:rsid w:val="11DC7AD0"/>
    <w:rsid w:val="11FE3E97"/>
    <w:rsid w:val="122907E8"/>
    <w:rsid w:val="124E5588"/>
    <w:rsid w:val="126A32DB"/>
    <w:rsid w:val="13051255"/>
    <w:rsid w:val="130C25E4"/>
    <w:rsid w:val="1351106C"/>
    <w:rsid w:val="13694614"/>
    <w:rsid w:val="1433594E"/>
    <w:rsid w:val="14975EDD"/>
    <w:rsid w:val="149E4CAA"/>
    <w:rsid w:val="14EC6EC3"/>
    <w:rsid w:val="14FA19D2"/>
    <w:rsid w:val="15707E59"/>
    <w:rsid w:val="15737323"/>
    <w:rsid w:val="15A46B04"/>
    <w:rsid w:val="15BA6327"/>
    <w:rsid w:val="15C308C8"/>
    <w:rsid w:val="15CE1DD3"/>
    <w:rsid w:val="15DA0777"/>
    <w:rsid w:val="15DD0268"/>
    <w:rsid w:val="15E24861"/>
    <w:rsid w:val="15E92769"/>
    <w:rsid w:val="15F35395"/>
    <w:rsid w:val="163634D4"/>
    <w:rsid w:val="165327F6"/>
    <w:rsid w:val="16A269FB"/>
    <w:rsid w:val="16C86822"/>
    <w:rsid w:val="16C94348"/>
    <w:rsid w:val="16CB1E6E"/>
    <w:rsid w:val="16CD3E38"/>
    <w:rsid w:val="16D01B7A"/>
    <w:rsid w:val="16DA6555"/>
    <w:rsid w:val="172733A4"/>
    <w:rsid w:val="17360417"/>
    <w:rsid w:val="17A124D4"/>
    <w:rsid w:val="17E17FC4"/>
    <w:rsid w:val="17F67EE0"/>
    <w:rsid w:val="17FF6273"/>
    <w:rsid w:val="183B3024"/>
    <w:rsid w:val="1858180A"/>
    <w:rsid w:val="18616F2E"/>
    <w:rsid w:val="1869193F"/>
    <w:rsid w:val="18697B91"/>
    <w:rsid w:val="18820C52"/>
    <w:rsid w:val="188B5D59"/>
    <w:rsid w:val="188D3BF3"/>
    <w:rsid w:val="18A24CA6"/>
    <w:rsid w:val="18D47A46"/>
    <w:rsid w:val="192B29A1"/>
    <w:rsid w:val="19341F4D"/>
    <w:rsid w:val="197A691B"/>
    <w:rsid w:val="19884EA3"/>
    <w:rsid w:val="19AC7906"/>
    <w:rsid w:val="19CA465F"/>
    <w:rsid w:val="19D21766"/>
    <w:rsid w:val="1A051B3B"/>
    <w:rsid w:val="1A66082C"/>
    <w:rsid w:val="1A7D7923"/>
    <w:rsid w:val="1ABA4CF6"/>
    <w:rsid w:val="1AE14343"/>
    <w:rsid w:val="1B172305"/>
    <w:rsid w:val="1B522ECD"/>
    <w:rsid w:val="1BC80A07"/>
    <w:rsid w:val="1BD8749A"/>
    <w:rsid w:val="1C1F4874"/>
    <w:rsid w:val="1C2C1601"/>
    <w:rsid w:val="1C784846"/>
    <w:rsid w:val="1C9805F6"/>
    <w:rsid w:val="1CB3587E"/>
    <w:rsid w:val="1CE81E71"/>
    <w:rsid w:val="1D167BBB"/>
    <w:rsid w:val="1D261F1A"/>
    <w:rsid w:val="1D3E4CA9"/>
    <w:rsid w:val="1D44260C"/>
    <w:rsid w:val="1D81597C"/>
    <w:rsid w:val="1DEC729A"/>
    <w:rsid w:val="1E0B3BBB"/>
    <w:rsid w:val="1E105B5F"/>
    <w:rsid w:val="1E5B441F"/>
    <w:rsid w:val="1E74728F"/>
    <w:rsid w:val="1EFA3C38"/>
    <w:rsid w:val="1EFD54D7"/>
    <w:rsid w:val="1F097F10"/>
    <w:rsid w:val="1F2C1918"/>
    <w:rsid w:val="1F923E71"/>
    <w:rsid w:val="1FC3227C"/>
    <w:rsid w:val="20401B1F"/>
    <w:rsid w:val="204C04C4"/>
    <w:rsid w:val="204C4020"/>
    <w:rsid w:val="20B47E17"/>
    <w:rsid w:val="20D364EF"/>
    <w:rsid w:val="20DC66B8"/>
    <w:rsid w:val="20F3093F"/>
    <w:rsid w:val="21240AF9"/>
    <w:rsid w:val="21621621"/>
    <w:rsid w:val="21747CD2"/>
    <w:rsid w:val="21A8172A"/>
    <w:rsid w:val="21D46CE1"/>
    <w:rsid w:val="22170671"/>
    <w:rsid w:val="22284619"/>
    <w:rsid w:val="229B128E"/>
    <w:rsid w:val="22B12860"/>
    <w:rsid w:val="22CC58EC"/>
    <w:rsid w:val="22E569AE"/>
    <w:rsid w:val="22E83DA8"/>
    <w:rsid w:val="2342170A"/>
    <w:rsid w:val="236B2A0F"/>
    <w:rsid w:val="238D75A2"/>
    <w:rsid w:val="23D26F32"/>
    <w:rsid w:val="24084702"/>
    <w:rsid w:val="240F5A90"/>
    <w:rsid w:val="244B45EE"/>
    <w:rsid w:val="24A85EE5"/>
    <w:rsid w:val="24BC729A"/>
    <w:rsid w:val="24D9609E"/>
    <w:rsid w:val="24DD793C"/>
    <w:rsid w:val="24F20F0E"/>
    <w:rsid w:val="24FB6014"/>
    <w:rsid w:val="253B28B5"/>
    <w:rsid w:val="254C0FBE"/>
    <w:rsid w:val="25545725"/>
    <w:rsid w:val="25565941"/>
    <w:rsid w:val="256C0CC0"/>
    <w:rsid w:val="25864737"/>
    <w:rsid w:val="25873673"/>
    <w:rsid w:val="25BA7ED1"/>
    <w:rsid w:val="25C44658"/>
    <w:rsid w:val="25E20F82"/>
    <w:rsid w:val="26170C2C"/>
    <w:rsid w:val="26263565"/>
    <w:rsid w:val="264E03C6"/>
    <w:rsid w:val="26BB3CAD"/>
    <w:rsid w:val="26CF1507"/>
    <w:rsid w:val="26D1527F"/>
    <w:rsid w:val="2714105B"/>
    <w:rsid w:val="27462BA9"/>
    <w:rsid w:val="274912B9"/>
    <w:rsid w:val="2753038A"/>
    <w:rsid w:val="276F4A98"/>
    <w:rsid w:val="27C20989"/>
    <w:rsid w:val="27D17500"/>
    <w:rsid w:val="27D86AE1"/>
    <w:rsid w:val="28092E2B"/>
    <w:rsid w:val="281602D3"/>
    <w:rsid w:val="284A68B4"/>
    <w:rsid w:val="287A36F4"/>
    <w:rsid w:val="288B5901"/>
    <w:rsid w:val="28AA222B"/>
    <w:rsid w:val="28E712EF"/>
    <w:rsid w:val="2919115F"/>
    <w:rsid w:val="29477A7A"/>
    <w:rsid w:val="296B659A"/>
    <w:rsid w:val="29C27101"/>
    <w:rsid w:val="29CC61D1"/>
    <w:rsid w:val="29F113E6"/>
    <w:rsid w:val="2A1411FC"/>
    <w:rsid w:val="2A4E1BCF"/>
    <w:rsid w:val="2A4E4E38"/>
    <w:rsid w:val="2A7C7BF7"/>
    <w:rsid w:val="2ACB6489"/>
    <w:rsid w:val="2B1B2F6C"/>
    <w:rsid w:val="2B2067D5"/>
    <w:rsid w:val="2B5F3291"/>
    <w:rsid w:val="2B960845"/>
    <w:rsid w:val="2BCE3262"/>
    <w:rsid w:val="2BE6629C"/>
    <w:rsid w:val="2C317D40"/>
    <w:rsid w:val="2C4670BA"/>
    <w:rsid w:val="2C5379A3"/>
    <w:rsid w:val="2C5379BA"/>
    <w:rsid w:val="2C732934"/>
    <w:rsid w:val="2C821220"/>
    <w:rsid w:val="2CE90E48"/>
    <w:rsid w:val="2D202ABC"/>
    <w:rsid w:val="2D2500D2"/>
    <w:rsid w:val="2D4F1E09"/>
    <w:rsid w:val="2D595FCE"/>
    <w:rsid w:val="2DF751F3"/>
    <w:rsid w:val="2E112405"/>
    <w:rsid w:val="2E2C723F"/>
    <w:rsid w:val="2E327474"/>
    <w:rsid w:val="2E456552"/>
    <w:rsid w:val="2E5D564A"/>
    <w:rsid w:val="2E7A2355"/>
    <w:rsid w:val="2E891740"/>
    <w:rsid w:val="2EAE3BE3"/>
    <w:rsid w:val="2EC35DF5"/>
    <w:rsid w:val="2EC9315F"/>
    <w:rsid w:val="2ED33B5E"/>
    <w:rsid w:val="2ED75A9F"/>
    <w:rsid w:val="2F5729E1"/>
    <w:rsid w:val="2F5842D0"/>
    <w:rsid w:val="2F98045E"/>
    <w:rsid w:val="2FAF6379"/>
    <w:rsid w:val="2FB27C17"/>
    <w:rsid w:val="2FB5399F"/>
    <w:rsid w:val="2FC00586"/>
    <w:rsid w:val="3019140D"/>
    <w:rsid w:val="30201025"/>
    <w:rsid w:val="303D3985"/>
    <w:rsid w:val="308C2216"/>
    <w:rsid w:val="30A77050"/>
    <w:rsid w:val="30A92DC8"/>
    <w:rsid w:val="313B4368"/>
    <w:rsid w:val="314B586D"/>
    <w:rsid w:val="317A1A30"/>
    <w:rsid w:val="31A17F44"/>
    <w:rsid w:val="31AB491E"/>
    <w:rsid w:val="31CC3212"/>
    <w:rsid w:val="31CE0296"/>
    <w:rsid w:val="31DA771B"/>
    <w:rsid w:val="31EF0CAF"/>
    <w:rsid w:val="32034DFD"/>
    <w:rsid w:val="32317519"/>
    <w:rsid w:val="325A081E"/>
    <w:rsid w:val="326E7E26"/>
    <w:rsid w:val="32840150"/>
    <w:rsid w:val="32B759A1"/>
    <w:rsid w:val="32E15631"/>
    <w:rsid w:val="32FA003C"/>
    <w:rsid w:val="33277D90"/>
    <w:rsid w:val="33423060"/>
    <w:rsid w:val="33634ED9"/>
    <w:rsid w:val="339A2E9C"/>
    <w:rsid w:val="33A87367"/>
    <w:rsid w:val="33D4015C"/>
    <w:rsid w:val="34050C5E"/>
    <w:rsid w:val="345117AD"/>
    <w:rsid w:val="34677222"/>
    <w:rsid w:val="346E1088"/>
    <w:rsid w:val="348E350D"/>
    <w:rsid w:val="34DA3E98"/>
    <w:rsid w:val="34FE62BA"/>
    <w:rsid w:val="35270760"/>
    <w:rsid w:val="354E2190"/>
    <w:rsid w:val="35700359"/>
    <w:rsid w:val="35857851"/>
    <w:rsid w:val="358762F4"/>
    <w:rsid w:val="358D2CB9"/>
    <w:rsid w:val="358E6A31"/>
    <w:rsid w:val="359B1D51"/>
    <w:rsid w:val="35BD418B"/>
    <w:rsid w:val="35BE7316"/>
    <w:rsid w:val="35F04FF6"/>
    <w:rsid w:val="35F8221C"/>
    <w:rsid w:val="35FC7E3E"/>
    <w:rsid w:val="361637EE"/>
    <w:rsid w:val="364F61C0"/>
    <w:rsid w:val="36646A23"/>
    <w:rsid w:val="367B3FC7"/>
    <w:rsid w:val="369E54F7"/>
    <w:rsid w:val="37023232"/>
    <w:rsid w:val="371D1E1A"/>
    <w:rsid w:val="37331FDE"/>
    <w:rsid w:val="373B4CDC"/>
    <w:rsid w:val="374B1F2A"/>
    <w:rsid w:val="375743B3"/>
    <w:rsid w:val="378D6FA0"/>
    <w:rsid w:val="379F5D9C"/>
    <w:rsid w:val="37CA01F4"/>
    <w:rsid w:val="37F214F9"/>
    <w:rsid w:val="38123949"/>
    <w:rsid w:val="38675A43"/>
    <w:rsid w:val="38710670"/>
    <w:rsid w:val="389B393F"/>
    <w:rsid w:val="38B22A36"/>
    <w:rsid w:val="38E539A5"/>
    <w:rsid w:val="3902751A"/>
    <w:rsid w:val="39557F91"/>
    <w:rsid w:val="39894678"/>
    <w:rsid w:val="39916AF0"/>
    <w:rsid w:val="39924D42"/>
    <w:rsid w:val="39B0341A"/>
    <w:rsid w:val="3A086DB2"/>
    <w:rsid w:val="3A5C2DAD"/>
    <w:rsid w:val="3A712BA9"/>
    <w:rsid w:val="3A86417A"/>
    <w:rsid w:val="3A8D72B7"/>
    <w:rsid w:val="3A97535E"/>
    <w:rsid w:val="3A9E4562"/>
    <w:rsid w:val="3AE27603"/>
    <w:rsid w:val="3AFA76F1"/>
    <w:rsid w:val="3B051543"/>
    <w:rsid w:val="3B1B0D67"/>
    <w:rsid w:val="3B255741"/>
    <w:rsid w:val="3B533939"/>
    <w:rsid w:val="3B8E32E7"/>
    <w:rsid w:val="3BA90120"/>
    <w:rsid w:val="3BAA122E"/>
    <w:rsid w:val="3BCD18DA"/>
    <w:rsid w:val="3C0417FB"/>
    <w:rsid w:val="3C243C4B"/>
    <w:rsid w:val="3C4D31A2"/>
    <w:rsid w:val="3C9D1AF6"/>
    <w:rsid w:val="3CAB2861"/>
    <w:rsid w:val="3CCF0E3E"/>
    <w:rsid w:val="3D2008B6"/>
    <w:rsid w:val="3D2E2FD3"/>
    <w:rsid w:val="3D334146"/>
    <w:rsid w:val="3D4445A5"/>
    <w:rsid w:val="3D673DEF"/>
    <w:rsid w:val="3D6A2FF2"/>
    <w:rsid w:val="3D6F7148"/>
    <w:rsid w:val="3D9D1F07"/>
    <w:rsid w:val="3DC8357D"/>
    <w:rsid w:val="3E043D34"/>
    <w:rsid w:val="3E15307F"/>
    <w:rsid w:val="3E265A58"/>
    <w:rsid w:val="3E53025E"/>
    <w:rsid w:val="3E5C14FF"/>
    <w:rsid w:val="3E7C173E"/>
    <w:rsid w:val="3ED731F7"/>
    <w:rsid w:val="3EE303C8"/>
    <w:rsid w:val="3F312907"/>
    <w:rsid w:val="3F516B05"/>
    <w:rsid w:val="3F536256"/>
    <w:rsid w:val="3F6A406B"/>
    <w:rsid w:val="3F8A426B"/>
    <w:rsid w:val="3FC25C55"/>
    <w:rsid w:val="3FC94921"/>
    <w:rsid w:val="3FE200A5"/>
    <w:rsid w:val="40267F92"/>
    <w:rsid w:val="402E32EA"/>
    <w:rsid w:val="40384169"/>
    <w:rsid w:val="4049520F"/>
    <w:rsid w:val="41265D6F"/>
    <w:rsid w:val="412C4F45"/>
    <w:rsid w:val="4134048C"/>
    <w:rsid w:val="41524DB6"/>
    <w:rsid w:val="417E7959"/>
    <w:rsid w:val="4187179E"/>
    <w:rsid w:val="41F504DE"/>
    <w:rsid w:val="42440BA3"/>
    <w:rsid w:val="4262727B"/>
    <w:rsid w:val="4283791D"/>
    <w:rsid w:val="428471F1"/>
    <w:rsid w:val="4290203A"/>
    <w:rsid w:val="42953641"/>
    <w:rsid w:val="42975304"/>
    <w:rsid w:val="42DE0FF8"/>
    <w:rsid w:val="430D33FA"/>
    <w:rsid w:val="43315D2E"/>
    <w:rsid w:val="433724B6"/>
    <w:rsid w:val="43B835F7"/>
    <w:rsid w:val="43B9111D"/>
    <w:rsid w:val="43F014C6"/>
    <w:rsid w:val="43F6411F"/>
    <w:rsid w:val="44140D79"/>
    <w:rsid w:val="442C45C0"/>
    <w:rsid w:val="44497983"/>
    <w:rsid w:val="44B71B00"/>
    <w:rsid w:val="450C3592"/>
    <w:rsid w:val="451D51ED"/>
    <w:rsid w:val="452B7DF8"/>
    <w:rsid w:val="452F700E"/>
    <w:rsid w:val="452F78E8"/>
    <w:rsid w:val="454964D0"/>
    <w:rsid w:val="45814806"/>
    <w:rsid w:val="45851A4C"/>
    <w:rsid w:val="45875CA4"/>
    <w:rsid w:val="45EA1A61"/>
    <w:rsid w:val="45FD1588"/>
    <w:rsid w:val="45FE72BB"/>
    <w:rsid w:val="46690BD8"/>
    <w:rsid w:val="466A4950"/>
    <w:rsid w:val="46955E71"/>
    <w:rsid w:val="46B1432D"/>
    <w:rsid w:val="471548BC"/>
    <w:rsid w:val="471F17EC"/>
    <w:rsid w:val="472B209C"/>
    <w:rsid w:val="472E1DB5"/>
    <w:rsid w:val="47307948"/>
    <w:rsid w:val="473236C0"/>
    <w:rsid w:val="478F0B12"/>
    <w:rsid w:val="47DB3DAD"/>
    <w:rsid w:val="47E979D7"/>
    <w:rsid w:val="47F723EB"/>
    <w:rsid w:val="482173AE"/>
    <w:rsid w:val="48484C47"/>
    <w:rsid w:val="484A6384"/>
    <w:rsid w:val="48616E5E"/>
    <w:rsid w:val="486E0728"/>
    <w:rsid w:val="489D2DBB"/>
    <w:rsid w:val="48AF2AEE"/>
    <w:rsid w:val="48BD520B"/>
    <w:rsid w:val="48D16F09"/>
    <w:rsid w:val="48D72771"/>
    <w:rsid w:val="48E629B4"/>
    <w:rsid w:val="491D274A"/>
    <w:rsid w:val="49B10406"/>
    <w:rsid w:val="49BC54C3"/>
    <w:rsid w:val="49E669E4"/>
    <w:rsid w:val="49EF5898"/>
    <w:rsid w:val="49FD692A"/>
    <w:rsid w:val="4A2B7946"/>
    <w:rsid w:val="4A497872"/>
    <w:rsid w:val="4A5E2A1E"/>
    <w:rsid w:val="4A7D10F6"/>
    <w:rsid w:val="4ABE526B"/>
    <w:rsid w:val="4AF364BF"/>
    <w:rsid w:val="4B1B43F6"/>
    <w:rsid w:val="4B367F93"/>
    <w:rsid w:val="4B4B4D50"/>
    <w:rsid w:val="4B5D4A84"/>
    <w:rsid w:val="4B663938"/>
    <w:rsid w:val="4B72052F"/>
    <w:rsid w:val="4BF278C2"/>
    <w:rsid w:val="4C2E63AB"/>
    <w:rsid w:val="4C356EDA"/>
    <w:rsid w:val="4C365A00"/>
    <w:rsid w:val="4C7402D7"/>
    <w:rsid w:val="4C9D15DC"/>
    <w:rsid w:val="4CD945DE"/>
    <w:rsid w:val="4CEE1E37"/>
    <w:rsid w:val="4D135D42"/>
    <w:rsid w:val="4D2770F7"/>
    <w:rsid w:val="4D2B4E39"/>
    <w:rsid w:val="4D357A66"/>
    <w:rsid w:val="4D52686A"/>
    <w:rsid w:val="4D8207D1"/>
    <w:rsid w:val="4D897DB2"/>
    <w:rsid w:val="4D9A3D6D"/>
    <w:rsid w:val="4DA27269"/>
    <w:rsid w:val="4E3B47E2"/>
    <w:rsid w:val="4EA43E39"/>
    <w:rsid w:val="4EB3158A"/>
    <w:rsid w:val="4EBD03F4"/>
    <w:rsid w:val="4EDD03B5"/>
    <w:rsid w:val="4EE72FE2"/>
    <w:rsid w:val="4F2002A2"/>
    <w:rsid w:val="4F351F9F"/>
    <w:rsid w:val="4F860A4D"/>
    <w:rsid w:val="4F8C3B89"/>
    <w:rsid w:val="4FAE58AE"/>
    <w:rsid w:val="4FBA24A4"/>
    <w:rsid w:val="4FE05C03"/>
    <w:rsid w:val="4FE53EE9"/>
    <w:rsid w:val="4FE60998"/>
    <w:rsid w:val="4FEE65F2"/>
    <w:rsid w:val="4FF534DD"/>
    <w:rsid w:val="500E27F0"/>
    <w:rsid w:val="501A6383"/>
    <w:rsid w:val="506F4924"/>
    <w:rsid w:val="50850D04"/>
    <w:rsid w:val="509251CF"/>
    <w:rsid w:val="50E81293"/>
    <w:rsid w:val="512B026F"/>
    <w:rsid w:val="514A09D2"/>
    <w:rsid w:val="514A5AAA"/>
    <w:rsid w:val="51624BA2"/>
    <w:rsid w:val="516C3C72"/>
    <w:rsid w:val="516E79EA"/>
    <w:rsid w:val="518266FB"/>
    <w:rsid w:val="51907961"/>
    <w:rsid w:val="519311FF"/>
    <w:rsid w:val="52181704"/>
    <w:rsid w:val="52271947"/>
    <w:rsid w:val="525F10E1"/>
    <w:rsid w:val="52701540"/>
    <w:rsid w:val="52AA11D3"/>
    <w:rsid w:val="52AB07CA"/>
    <w:rsid w:val="52DB10B0"/>
    <w:rsid w:val="52ED493F"/>
    <w:rsid w:val="533D70D8"/>
    <w:rsid w:val="5345477B"/>
    <w:rsid w:val="53642E53"/>
    <w:rsid w:val="536A2433"/>
    <w:rsid w:val="537D5CC3"/>
    <w:rsid w:val="53EA0E7E"/>
    <w:rsid w:val="5411123E"/>
    <w:rsid w:val="54534C76"/>
    <w:rsid w:val="5479292E"/>
    <w:rsid w:val="549E4143"/>
    <w:rsid w:val="54B6689E"/>
    <w:rsid w:val="54C0055D"/>
    <w:rsid w:val="54DE6C35"/>
    <w:rsid w:val="55173EF5"/>
    <w:rsid w:val="560501F2"/>
    <w:rsid w:val="56102E1E"/>
    <w:rsid w:val="568B4B9B"/>
    <w:rsid w:val="56D93B58"/>
    <w:rsid w:val="56F64413"/>
    <w:rsid w:val="573B036F"/>
    <w:rsid w:val="574216FD"/>
    <w:rsid w:val="574C257C"/>
    <w:rsid w:val="57792C45"/>
    <w:rsid w:val="57793128"/>
    <w:rsid w:val="579F706F"/>
    <w:rsid w:val="57B67C8D"/>
    <w:rsid w:val="57E83927"/>
    <w:rsid w:val="58450D79"/>
    <w:rsid w:val="586438F5"/>
    <w:rsid w:val="58703EC0"/>
    <w:rsid w:val="587C77D5"/>
    <w:rsid w:val="58816255"/>
    <w:rsid w:val="58847AF3"/>
    <w:rsid w:val="58AE5938"/>
    <w:rsid w:val="58B8779D"/>
    <w:rsid w:val="58DA35E4"/>
    <w:rsid w:val="58DA7713"/>
    <w:rsid w:val="58F24A5D"/>
    <w:rsid w:val="59044790"/>
    <w:rsid w:val="590B1FC3"/>
    <w:rsid w:val="590C62DE"/>
    <w:rsid w:val="59177DD3"/>
    <w:rsid w:val="592F37D9"/>
    <w:rsid w:val="59561490"/>
    <w:rsid w:val="597E09E7"/>
    <w:rsid w:val="59851D75"/>
    <w:rsid w:val="59854C40"/>
    <w:rsid w:val="59975605"/>
    <w:rsid w:val="599855D4"/>
    <w:rsid w:val="59AF4EBB"/>
    <w:rsid w:val="59B368E2"/>
    <w:rsid w:val="59D14FBA"/>
    <w:rsid w:val="5A01185B"/>
    <w:rsid w:val="5A2A46CB"/>
    <w:rsid w:val="5A317655"/>
    <w:rsid w:val="5A655703"/>
    <w:rsid w:val="5A9F0C15"/>
    <w:rsid w:val="5ACC7530"/>
    <w:rsid w:val="5AEC407C"/>
    <w:rsid w:val="5AF2343A"/>
    <w:rsid w:val="5B266C40"/>
    <w:rsid w:val="5B4812AC"/>
    <w:rsid w:val="5B5A4B3C"/>
    <w:rsid w:val="5B6D2AC1"/>
    <w:rsid w:val="5B9C33A6"/>
    <w:rsid w:val="5BB26726"/>
    <w:rsid w:val="5BCE7A03"/>
    <w:rsid w:val="5BF441AE"/>
    <w:rsid w:val="5C17198B"/>
    <w:rsid w:val="5C4A4BB0"/>
    <w:rsid w:val="5C583DF3"/>
    <w:rsid w:val="5C6A7000"/>
    <w:rsid w:val="5C741C2D"/>
    <w:rsid w:val="5C7834CB"/>
    <w:rsid w:val="5C82434A"/>
    <w:rsid w:val="5C9F35EA"/>
    <w:rsid w:val="5CC30343"/>
    <w:rsid w:val="5CE22611"/>
    <w:rsid w:val="5D000984"/>
    <w:rsid w:val="5D0B07E3"/>
    <w:rsid w:val="5D160023"/>
    <w:rsid w:val="5D177188"/>
    <w:rsid w:val="5D2E3C9D"/>
    <w:rsid w:val="5D5B7C05"/>
    <w:rsid w:val="5D5F0A0A"/>
    <w:rsid w:val="5D6677C8"/>
    <w:rsid w:val="5DC15346"/>
    <w:rsid w:val="5DD13A18"/>
    <w:rsid w:val="5DEA664B"/>
    <w:rsid w:val="5DEE3CCB"/>
    <w:rsid w:val="5E36363E"/>
    <w:rsid w:val="5E391380"/>
    <w:rsid w:val="5E56680D"/>
    <w:rsid w:val="5E62310E"/>
    <w:rsid w:val="5EB12A83"/>
    <w:rsid w:val="5EB304E7"/>
    <w:rsid w:val="5ED52E57"/>
    <w:rsid w:val="5EDF4559"/>
    <w:rsid w:val="5F864151"/>
    <w:rsid w:val="5F931193"/>
    <w:rsid w:val="5F9E593F"/>
    <w:rsid w:val="5FA56CCD"/>
    <w:rsid w:val="5FA665A1"/>
    <w:rsid w:val="5FAF36A8"/>
    <w:rsid w:val="5FB17120"/>
    <w:rsid w:val="60161979"/>
    <w:rsid w:val="601B0D3D"/>
    <w:rsid w:val="602A5424"/>
    <w:rsid w:val="605129B1"/>
    <w:rsid w:val="608C5797"/>
    <w:rsid w:val="60BA6EBD"/>
    <w:rsid w:val="60BF3DBF"/>
    <w:rsid w:val="60CB69BE"/>
    <w:rsid w:val="614F7E1C"/>
    <w:rsid w:val="615362ED"/>
    <w:rsid w:val="61587D6F"/>
    <w:rsid w:val="615A0561"/>
    <w:rsid w:val="61730705"/>
    <w:rsid w:val="61907509"/>
    <w:rsid w:val="61A05919"/>
    <w:rsid w:val="61B9080E"/>
    <w:rsid w:val="61D1483B"/>
    <w:rsid w:val="61DB4C28"/>
    <w:rsid w:val="61EF2482"/>
    <w:rsid w:val="62145A44"/>
    <w:rsid w:val="621E4B15"/>
    <w:rsid w:val="622B7232"/>
    <w:rsid w:val="625E7607"/>
    <w:rsid w:val="628726BA"/>
    <w:rsid w:val="629E7A04"/>
    <w:rsid w:val="62EF025F"/>
    <w:rsid w:val="63353D45"/>
    <w:rsid w:val="633B5253"/>
    <w:rsid w:val="637349EC"/>
    <w:rsid w:val="639130C5"/>
    <w:rsid w:val="63E94CAF"/>
    <w:rsid w:val="63F0428F"/>
    <w:rsid w:val="64515C6C"/>
    <w:rsid w:val="6457430E"/>
    <w:rsid w:val="646B1B68"/>
    <w:rsid w:val="646C600B"/>
    <w:rsid w:val="647307E7"/>
    <w:rsid w:val="64A91186"/>
    <w:rsid w:val="64C179D9"/>
    <w:rsid w:val="64C80D68"/>
    <w:rsid w:val="64DB4F3F"/>
    <w:rsid w:val="65374A7E"/>
    <w:rsid w:val="65801643"/>
    <w:rsid w:val="65A10CC6"/>
    <w:rsid w:val="65A610A9"/>
    <w:rsid w:val="65A76BCF"/>
    <w:rsid w:val="65C21DD1"/>
    <w:rsid w:val="66065FEC"/>
    <w:rsid w:val="663812EA"/>
    <w:rsid w:val="665B34EC"/>
    <w:rsid w:val="66815672"/>
    <w:rsid w:val="6684481A"/>
    <w:rsid w:val="668A2779"/>
    <w:rsid w:val="668F1B3D"/>
    <w:rsid w:val="66A650D9"/>
    <w:rsid w:val="66B27F22"/>
    <w:rsid w:val="66E5460D"/>
    <w:rsid w:val="670F0ED0"/>
    <w:rsid w:val="672C4C66"/>
    <w:rsid w:val="673B1CC5"/>
    <w:rsid w:val="676F7BC1"/>
    <w:rsid w:val="67D22629"/>
    <w:rsid w:val="67E71B6D"/>
    <w:rsid w:val="68000819"/>
    <w:rsid w:val="682B7F8C"/>
    <w:rsid w:val="68646FFA"/>
    <w:rsid w:val="68A97245"/>
    <w:rsid w:val="68B65AA7"/>
    <w:rsid w:val="68D20BF6"/>
    <w:rsid w:val="68FE2FAA"/>
    <w:rsid w:val="69182864"/>
    <w:rsid w:val="691F10FF"/>
    <w:rsid w:val="69205616"/>
    <w:rsid w:val="69320EA6"/>
    <w:rsid w:val="693B14FF"/>
    <w:rsid w:val="694330B3"/>
    <w:rsid w:val="696C43B8"/>
    <w:rsid w:val="6974326C"/>
    <w:rsid w:val="6999660E"/>
    <w:rsid w:val="699D3E7F"/>
    <w:rsid w:val="69A56E2E"/>
    <w:rsid w:val="69AA2541"/>
    <w:rsid w:val="6A196BC8"/>
    <w:rsid w:val="6A3B3D8A"/>
    <w:rsid w:val="6A4D331D"/>
    <w:rsid w:val="6A883CBC"/>
    <w:rsid w:val="6AB57FE0"/>
    <w:rsid w:val="6ABE6E95"/>
    <w:rsid w:val="6AEA47A4"/>
    <w:rsid w:val="6AFE7291"/>
    <w:rsid w:val="6B030D4C"/>
    <w:rsid w:val="6B0A3E88"/>
    <w:rsid w:val="6B0B19AE"/>
    <w:rsid w:val="6B2F7D93"/>
    <w:rsid w:val="6B48148B"/>
    <w:rsid w:val="6B596BBE"/>
    <w:rsid w:val="6B5B33B3"/>
    <w:rsid w:val="6B80288A"/>
    <w:rsid w:val="6B855C05"/>
    <w:rsid w:val="6B923E7E"/>
    <w:rsid w:val="6BA45F0B"/>
    <w:rsid w:val="6BB15AA8"/>
    <w:rsid w:val="6BF75F40"/>
    <w:rsid w:val="6C6E0447"/>
    <w:rsid w:val="6C887707"/>
    <w:rsid w:val="6C9A56E0"/>
    <w:rsid w:val="6CD23C29"/>
    <w:rsid w:val="6CDE381E"/>
    <w:rsid w:val="6D45564C"/>
    <w:rsid w:val="6D57667D"/>
    <w:rsid w:val="6D7777CF"/>
    <w:rsid w:val="6D7D3037"/>
    <w:rsid w:val="6DB30807"/>
    <w:rsid w:val="6DB4611F"/>
    <w:rsid w:val="6DDA24CA"/>
    <w:rsid w:val="6DEC0B04"/>
    <w:rsid w:val="6E510020"/>
    <w:rsid w:val="6E641B01"/>
    <w:rsid w:val="6E6E0BD2"/>
    <w:rsid w:val="6E737AC6"/>
    <w:rsid w:val="6E922B12"/>
    <w:rsid w:val="6EA14B04"/>
    <w:rsid w:val="6F094457"/>
    <w:rsid w:val="6F5141C8"/>
    <w:rsid w:val="6F8B1310"/>
    <w:rsid w:val="6FAE5EF2"/>
    <w:rsid w:val="6FBB10C2"/>
    <w:rsid w:val="6FDB730A"/>
    <w:rsid w:val="6FEF189F"/>
    <w:rsid w:val="6FF41DAD"/>
    <w:rsid w:val="7003534A"/>
    <w:rsid w:val="700A4B8C"/>
    <w:rsid w:val="70131A31"/>
    <w:rsid w:val="703025E3"/>
    <w:rsid w:val="70A5454D"/>
    <w:rsid w:val="70B2124A"/>
    <w:rsid w:val="70CF77C1"/>
    <w:rsid w:val="711F4406"/>
    <w:rsid w:val="71285068"/>
    <w:rsid w:val="713368DE"/>
    <w:rsid w:val="71397275"/>
    <w:rsid w:val="718D136F"/>
    <w:rsid w:val="71A41507"/>
    <w:rsid w:val="71C74D19"/>
    <w:rsid w:val="71ED1E0E"/>
    <w:rsid w:val="72005FE5"/>
    <w:rsid w:val="72247F25"/>
    <w:rsid w:val="725D3437"/>
    <w:rsid w:val="725D7865"/>
    <w:rsid w:val="726F4F19"/>
    <w:rsid w:val="72802C82"/>
    <w:rsid w:val="7281076E"/>
    <w:rsid w:val="72F62F44"/>
    <w:rsid w:val="730B2E93"/>
    <w:rsid w:val="732B0E40"/>
    <w:rsid w:val="732D2E0A"/>
    <w:rsid w:val="733F2189"/>
    <w:rsid w:val="735C01EE"/>
    <w:rsid w:val="73944C37"/>
    <w:rsid w:val="73A017A5"/>
    <w:rsid w:val="73B40E35"/>
    <w:rsid w:val="73EB6821"/>
    <w:rsid w:val="74454183"/>
    <w:rsid w:val="746E36DA"/>
    <w:rsid w:val="747B7BA5"/>
    <w:rsid w:val="747E6925"/>
    <w:rsid w:val="74A470FC"/>
    <w:rsid w:val="74D15A17"/>
    <w:rsid w:val="74DD616A"/>
    <w:rsid w:val="74EC2851"/>
    <w:rsid w:val="74FC2209"/>
    <w:rsid w:val="752244C4"/>
    <w:rsid w:val="75324707"/>
    <w:rsid w:val="753721B6"/>
    <w:rsid w:val="75412B9C"/>
    <w:rsid w:val="75483F2B"/>
    <w:rsid w:val="755778E6"/>
    <w:rsid w:val="75722D56"/>
    <w:rsid w:val="758962F1"/>
    <w:rsid w:val="759251A6"/>
    <w:rsid w:val="75930F1E"/>
    <w:rsid w:val="759A04FF"/>
    <w:rsid w:val="75A749A6"/>
    <w:rsid w:val="75B74C0D"/>
    <w:rsid w:val="75C16B30"/>
    <w:rsid w:val="75D562C9"/>
    <w:rsid w:val="75DF4163"/>
    <w:rsid w:val="760A78C1"/>
    <w:rsid w:val="760D0CD1"/>
    <w:rsid w:val="762B73A9"/>
    <w:rsid w:val="76451505"/>
    <w:rsid w:val="769F2F78"/>
    <w:rsid w:val="76A72ED3"/>
    <w:rsid w:val="76C04379"/>
    <w:rsid w:val="76D55E6F"/>
    <w:rsid w:val="76F51E90"/>
    <w:rsid w:val="772E0EFE"/>
    <w:rsid w:val="774136B9"/>
    <w:rsid w:val="77802E20"/>
    <w:rsid w:val="779A47E6"/>
    <w:rsid w:val="77A47413"/>
    <w:rsid w:val="77AB07A1"/>
    <w:rsid w:val="77CD52EC"/>
    <w:rsid w:val="77DC095A"/>
    <w:rsid w:val="77E45A61"/>
    <w:rsid w:val="77E872FF"/>
    <w:rsid w:val="78397B5B"/>
    <w:rsid w:val="7866291A"/>
    <w:rsid w:val="7883527A"/>
    <w:rsid w:val="78B35B5F"/>
    <w:rsid w:val="78DB50B6"/>
    <w:rsid w:val="790D027A"/>
    <w:rsid w:val="794A2DCD"/>
    <w:rsid w:val="79711576"/>
    <w:rsid w:val="797866AB"/>
    <w:rsid w:val="799C2674"/>
    <w:rsid w:val="79B449DA"/>
    <w:rsid w:val="7A0D5743"/>
    <w:rsid w:val="7A0F3269"/>
    <w:rsid w:val="7A5A025C"/>
    <w:rsid w:val="7A6D7F90"/>
    <w:rsid w:val="7A8377B3"/>
    <w:rsid w:val="7AA03EC1"/>
    <w:rsid w:val="7AB43E11"/>
    <w:rsid w:val="7AC51B7A"/>
    <w:rsid w:val="7AED10D1"/>
    <w:rsid w:val="7AF4245F"/>
    <w:rsid w:val="7AF91823"/>
    <w:rsid w:val="7AFD4FEE"/>
    <w:rsid w:val="7B564EC8"/>
    <w:rsid w:val="7B767FF0"/>
    <w:rsid w:val="7B89704B"/>
    <w:rsid w:val="7B9C6D7F"/>
    <w:rsid w:val="7BDD523F"/>
    <w:rsid w:val="7BE424D4"/>
    <w:rsid w:val="7BF22E42"/>
    <w:rsid w:val="7BF70459"/>
    <w:rsid w:val="7C036DFE"/>
    <w:rsid w:val="7C3E1BE4"/>
    <w:rsid w:val="7C556F2D"/>
    <w:rsid w:val="7C613B24"/>
    <w:rsid w:val="7CAB4D9F"/>
    <w:rsid w:val="7CB62F91"/>
    <w:rsid w:val="7CBA58FF"/>
    <w:rsid w:val="7CBC31A8"/>
    <w:rsid w:val="7D360B0D"/>
    <w:rsid w:val="7D3E3E65"/>
    <w:rsid w:val="7DA912DF"/>
    <w:rsid w:val="7DF05160"/>
    <w:rsid w:val="7E316142"/>
    <w:rsid w:val="7E3F39F1"/>
    <w:rsid w:val="7E417769"/>
    <w:rsid w:val="7E68119A"/>
    <w:rsid w:val="7E970F43"/>
    <w:rsid w:val="7E9A50CB"/>
    <w:rsid w:val="7EE66563"/>
    <w:rsid w:val="7EF00330"/>
    <w:rsid w:val="7EFC7B34"/>
    <w:rsid w:val="7F556170"/>
    <w:rsid w:val="7F7D2A23"/>
    <w:rsid w:val="7FCA378E"/>
    <w:rsid w:val="7FCB7C3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2">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5"/>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5"/>
    <w:link w:val="92"/>
    <w:qFormat/>
    <w:uiPriority w:val="0"/>
    <w:pPr>
      <w:keepNext/>
      <w:keepLines/>
      <w:spacing w:before="120" w:after="120"/>
      <w:outlineLvl w:val="3"/>
    </w:pPr>
    <w:rPr>
      <w:rFonts w:ascii="Arial" w:hAnsi="Arial" w:eastAsia="黑体"/>
      <w:b/>
      <w:sz w:val="20"/>
    </w:rPr>
  </w:style>
  <w:style w:type="paragraph" w:styleId="10">
    <w:name w:val="heading 5"/>
    <w:basedOn w:val="1"/>
    <w:next w:val="5"/>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73"/>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next w:val="27"/>
    <w:link w:val="80"/>
    <w:qFormat/>
    <w:uiPriority w:val="0"/>
    <w:rPr>
      <w:rFonts w:ascii="楷体_GB2312" w:hAnsi="Arial" w:eastAsia="楷体_GB2312"/>
      <w:sz w:val="20"/>
    </w:rPr>
  </w:style>
  <w:style w:type="paragraph" w:styleId="27">
    <w:name w:val="Body Text First Indent"/>
    <w:basedOn w:val="26"/>
    <w:link w:val="109"/>
    <w:qFormat/>
    <w:uiPriority w:val="0"/>
    <w:pPr>
      <w:spacing w:after="120"/>
      <w:ind w:firstLine="420" w:firstLineChars="100"/>
    </w:pPr>
    <w:rPr>
      <w:rFonts w:ascii="Times New Roman" w:hAnsi="Times New Roman" w:eastAsia="宋体"/>
      <w:sz w:val="24"/>
      <w:szCs w:val="24"/>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48"/>
    <w:qFormat/>
    <w:uiPriority w:val="0"/>
    <w:rPr>
      <w:b/>
      <w:bCs/>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Default"/>
    <w:next w:val="7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Char Char10 Char Char Char Char"/>
    <w:basedOn w:val="1"/>
    <w:next w:val="76"/>
    <w:qFormat/>
    <w:uiPriority w:val="0"/>
  </w:style>
  <w:style w:type="paragraph" w:customStyle="1" w:styleId="76">
    <w:name w:val="xl87"/>
    <w:basedOn w:val="1"/>
    <w:next w:val="77"/>
    <w:qFormat/>
    <w:uiPriority w:val="0"/>
    <w:pPr>
      <w:shd w:val="clear" w:color="FFFFFF" w:fill="FFFFFF"/>
      <w:spacing w:before="280" w:after="280"/>
      <w:jc w:val="right"/>
    </w:pPr>
    <w:rPr>
      <w:rFonts w:ascii="宋体"/>
      <w:sz w:val="24"/>
    </w:rPr>
  </w:style>
  <w:style w:type="paragraph" w:customStyle="1" w:styleId="77">
    <w:name w:val="xl72"/>
    <w:basedOn w:val="1"/>
    <w:next w:val="34"/>
    <w:qFormat/>
    <w:uiPriority w:val="0"/>
    <w:pPr>
      <w:shd w:val="clear" w:color="FFFFFF" w:fill="FFFFFF"/>
      <w:spacing w:before="280" w:after="280"/>
      <w:jc w:val="right"/>
    </w:pPr>
    <w:rPr>
      <w:rFonts w:ascii="宋体"/>
      <w:sz w:val="24"/>
    </w:rPr>
  </w:style>
  <w:style w:type="paragraph" w:customStyle="1" w:styleId="78">
    <w:name w:val="正文 New"/>
    <w:basedOn w:val="1"/>
    <w:qFormat/>
    <w:uiPriority w:val="0"/>
    <w:pPr>
      <w:spacing w:before="100" w:beforeAutospacing="1" w:after="100" w:afterAutospacing="1" w:line="440" w:lineRule="exact"/>
      <w:ind w:left="357" w:hanging="357"/>
    </w:pPr>
    <w:rPr>
      <w:szCs w:val="21"/>
    </w:rPr>
  </w:style>
  <w:style w:type="character" w:customStyle="1" w:styleId="79">
    <w:name w:val="页脚 Char1"/>
    <w:basedOn w:val="62"/>
    <w:qFormat/>
    <w:uiPriority w:val="0"/>
    <w:rPr>
      <w:rFonts w:cs="Times New Roman"/>
      <w:kern w:val="2"/>
      <w:sz w:val="18"/>
      <w:szCs w:val="18"/>
    </w:rPr>
  </w:style>
  <w:style w:type="character" w:customStyle="1" w:styleId="80">
    <w:name w:val="正文文本 字符"/>
    <w:basedOn w:val="62"/>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2"/>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2"/>
    <w:qFormat/>
    <w:uiPriority w:val="0"/>
    <w:rPr>
      <w:rFonts w:ascii="Times New Roman" w:hAnsi="Times New Roman"/>
      <w:kern w:val="2"/>
      <w:sz w:val="16"/>
      <w:szCs w:val="16"/>
    </w:rPr>
  </w:style>
  <w:style w:type="character" w:customStyle="1" w:styleId="84">
    <w:name w:val="副标题 字符"/>
    <w:basedOn w:val="62"/>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2"/>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2"/>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2"/>
    <w:qFormat/>
    <w:uiPriority w:val="0"/>
    <w:rPr>
      <w:rFonts w:ascii="Times New Roman" w:hAnsi="Times New Roman" w:eastAsia="宋体" w:cs="Times New Roman"/>
      <w:b/>
      <w:bCs/>
      <w:sz w:val="32"/>
      <w:szCs w:val="32"/>
    </w:rPr>
  </w:style>
  <w:style w:type="character" w:customStyle="1" w:styleId="92">
    <w:name w:val="标题 4 字符"/>
    <w:basedOn w:val="62"/>
    <w:link w:val="9"/>
    <w:qFormat/>
    <w:uiPriority w:val="0"/>
    <w:rPr>
      <w:rFonts w:ascii="Arial" w:hAnsi="Arial" w:eastAsia="黑体" w:cs="Times New Roman"/>
      <w:b/>
      <w:sz w:val="20"/>
      <w:szCs w:val="20"/>
    </w:rPr>
  </w:style>
  <w:style w:type="character" w:customStyle="1" w:styleId="93">
    <w:name w:val="正文文本 3 字符"/>
    <w:basedOn w:val="62"/>
    <w:link w:val="25"/>
    <w:qFormat/>
    <w:uiPriority w:val="0"/>
    <w:rPr>
      <w:rFonts w:ascii="仿宋_GB2312" w:hAnsi="Arial" w:eastAsia="仿宋_GB2312" w:cs="Times New Roman"/>
      <w:sz w:val="20"/>
      <w:szCs w:val="20"/>
    </w:rPr>
  </w:style>
  <w:style w:type="character" w:customStyle="1" w:styleId="94">
    <w:name w:val="正文文本缩进 Char"/>
    <w:basedOn w:val="62"/>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2"/>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首行缩进 字符"/>
    <w:basedOn w:val="80"/>
    <w:link w:val="27"/>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2"/>
    <w:qFormat/>
    <w:uiPriority w:val="0"/>
    <w:rPr>
      <w:rFonts w:cs="Times New Roman"/>
    </w:rPr>
  </w:style>
  <w:style w:type="character" w:customStyle="1" w:styleId="112">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13">
    <w:name w:val="纯文本 Char"/>
    <w:basedOn w:val="62"/>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2"/>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2"/>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2"/>
    <w:link w:val="31"/>
    <w:qFormat/>
    <w:uiPriority w:val="99"/>
    <w:rPr>
      <w:rFonts w:ascii="宋体" w:hAnsi="Courier New" w:cs="Courier New"/>
      <w:kern w:val="2"/>
      <w:sz w:val="21"/>
      <w:szCs w:val="21"/>
    </w:rPr>
  </w:style>
  <w:style w:type="character" w:customStyle="1" w:styleId="126">
    <w:name w:val="标题 6 字符"/>
    <w:basedOn w:val="62"/>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2"/>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2"/>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2"/>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2"/>
    <w:link w:val="46"/>
    <w:qFormat/>
    <w:uiPriority w:val="0"/>
    <w:rPr>
      <w:rFonts w:ascii="Times New Roman" w:hAnsi="Times New Roman" w:eastAsia="宋体" w:cs="Times New Roman"/>
      <w:sz w:val="18"/>
      <w:szCs w:val="18"/>
    </w:rPr>
  </w:style>
  <w:style w:type="character" w:customStyle="1" w:styleId="138">
    <w:name w:val="页眉 字符"/>
    <w:basedOn w:val="62"/>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2"/>
    <w:qFormat/>
    <w:uiPriority w:val="0"/>
    <w:rPr>
      <w:rFonts w:cs="Times New Roman"/>
    </w:rPr>
  </w:style>
  <w:style w:type="character" w:customStyle="1" w:styleId="141">
    <w:name w:val="标题 7 字符"/>
    <w:basedOn w:val="62"/>
    <w:link w:val="12"/>
    <w:qFormat/>
    <w:uiPriority w:val="0"/>
    <w:rPr>
      <w:rFonts w:ascii="Times New Roman" w:hAnsi="Times New Roman" w:eastAsia="宋体" w:cs="Times New Roman"/>
      <w:b/>
      <w:bCs/>
      <w:sz w:val="24"/>
      <w:szCs w:val="24"/>
    </w:rPr>
  </w:style>
  <w:style w:type="character" w:customStyle="1" w:styleId="142">
    <w:name w:val="Title Char1"/>
    <w:basedOn w:val="62"/>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2"/>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2"/>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2"/>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2"/>
    <w:qFormat/>
    <w:uiPriority w:val="0"/>
    <w:rPr>
      <w:rFonts w:ascii="Times New Roman" w:hAnsi="Times New Roman"/>
      <w:kern w:val="2"/>
      <w:sz w:val="21"/>
    </w:rPr>
  </w:style>
  <w:style w:type="character" w:customStyle="1" w:styleId="161">
    <w:name w:val="标题 9 字符"/>
    <w:basedOn w:val="62"/>
    <w:link w:val="14"/>
    <w:qFormat/>
    <w:uiPriority w:val="0"/>
    <w:rPr>
      <w:rFonts w:ascii="Arial" w:hAnsi="Arial" w:eastAsia="黑体" w:cs="Times New Roman"/>
      <w:sz w:val="21"/>
      <w:szCs w:val="21"/>
    </w:rPr>
  </w:style>
  <w:style w:type="character" w:customStyle="1" w:styleId="162">
    <w:name w:val="明显强调1"/>
    <w:basedOn w:val="62"/>
    <w:qFormat/>
    <w:uiPriority w:val="0"/>
    <w:rPr>
      <w:b/>
    </w:rPr>
  </w:style>
  <w:style w:type="character" w:customStyle="1" w:styleId="163">
    <w:name w:val="标题 2 字符"/>
    <w:basedOn w:val="62"/>
    <w:link w:val="2"/>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2"/>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2"/>
    <w:link w:val="35"/>
    <w:qFormat/>
    <w:uiPriority w:val="0"/>
    <w:rPr>
      <w:rFonts w:ascii="Times New Roman" w:hAnsi="Times New Roman" w:eastAsia="宋体" w:cs="Times New Roman"/>
      <w:sz w:val="20"/>
      <w:szCs w:val="20"/>
    </w:rPr>
  </w:style>
  <w:style w:type="character" w:customStyle="1" w:styleId="168">
    <w:name w:val="Quote Char1"/>
    <w:basedOn w:val="62"/>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2"/>
    <w:qFormat/>
    <w:uiPriority w:val="0"/>
    <w:rPr>
      <w:rFonts w:ascii="宋体" w:hAnsi="Times New Roman" w:eastAsia="宋体" w:cs="Times New Roman"/>
      <w:sz w:val="18"/>
      <w:szCs w:val="18"/>
    </w:rPr>
  </w:style>
  <w:style w:type="character" w:customStyle="1" w:styleId="171">
    <w:name w:val="HTML 预设格式 字符"/>
    <w:basedOn w:val="62"/>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2"/>
    <w:link w:val="7"/>
    <w:qFormat/>
    <w:uiPriority w:val="0"/>
    <w:rPr>
      <w:rFonts w:ascii="Times New Roman" w:hAnsi="Times New Roman"/>
      <w:kern w:val="2"/>
      <w:sz w:val="21"/>
    </w:rPr>
  </w:style>
  <w:style w:type="character" w:customStyle="1" w:styleId="174">
    <w:name w:val="标题 字符"/>
    <w:basedOn w:val="62"/>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2"/>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2"/>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2"/>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2"/>
    <w:link w:val="3"/>
    <w:qFormat/>
    <w:uiPriority w:val="0"/>
    <w:rPr>
      <w:rFonts w:ascii="黑体" w:hAnsi="Times New Roman" w:eastAsia="黑体" w:cs="Times New Roman"/>
      <w:b/>
      <w:kern w:val="44"/>
      <w:sz w:val="28"/>
      <w:szCs w:val="28"/>
    </w:rPr>
  </w:style>
  <w:style w:type="character" w:customStyle="1" w:styleId="195">
    <w:name w:val="明显参考1"/>
    <w:basedOn w:val="62"/>
    <w:qFormat/>
    <w:uiPriority w:val="0"/>
    <w:rPr>
      <w:smallCaps/>
      <w:spacing w:val="5"/>
      <w:u w:val="single"/>
    </w:rPr>
  </w:style>
  <w:style w:type="character" w:customStyle="1" w:styleId="196">
    <w:name w:val="称呼 字符"/>
    <w:basedOn w:val="62"/>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2"/>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2"/>
    <w:link w:val="38"/>
    <w:qFormat/>
    <w:uiPriority w:val="0"/>
    <w:rPr>
      <w:rFonts w:cs="Times New Roman"/>
      <w:sz w:val="18"/>
      <w:szCs w:val="18"/>
    </w:rPr>
  </w:style>
  <w:style w:type="character" w:customStyle="1" w:styleId="203">
    <w:name w:val="书籍标题1"/>
    <w:basedOn w:val="62"/>
    <w:qFormat/>
    <w:uiPriority w:val="0"/>
    <w:rPr>
      <w:i/>
      <w:smallCaps/>
      <w:spacing w:val="5"/>
    </w:rPr>
  </w:style>
  <w:style w:type="character" w:customStyle="1" w:styleId="204">
    <w:name w:val="不明显参考1"/>
    <w:basedOn w:val="62"/>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2"/>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2"/>
    <w:link w:val="37"/>
    <w:qFormat/>
    <w:uiPriority w:val="0"/>
    <w:rPr>
      <w:rFonts w:ascii="Times New Roman" w:hAnsi="Times New Roman" w:eastAsia="宋体" w:cs="Times New Roman"/>
      <w:sz w:val="18"/>
      <w:szCs w:val="18"/>
    </w:rPr>
  </w:style>
  <w:style w:type="character" w:customStyle="1" w:styleId="210">
    <w:name w:val="尾注文本 字符"/>
    <w:basedOn w:val="62"/>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4">
    <w:name w:val="默认段落字体 Para Char Char Char Char Char Char Char Char Char1 Char Char Char Char Char Char Char"/>
    <w:basedOn w:val="21"/>
    <w:qFormat/>
    <w:uiPriority w:val="0"/>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正文11"/>
    <w:basedOn w:val="1"/>
    <w:next w:val="1"/>
    <w:qFormat/>
    <w:uiPriority w:val="0"/>
    <w:pPr>
      <w:spacing w:before="156" w:line="360" w:lineRule="auto"/>
      <w:ind w:firstLine="510" w:firstLineChars="200"/>
    </w:pPr>
    <w:rPr>
      <w:sz w:val="24"/>
    </w:rPr>
  </w:style>
  <w:style w:type="paragraph" w:customStyle="1" w:styleId="237">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8">
    <w:name w:val="Char Char11"/>
    <w:basedOn w:val="1"/>
    <w:qFormat/>
    <w:uiPriority w:val="0"/>
    <w:rPr>
      <w:rFonts w:ascii="Tahoma" w:hAnsi="Tahoma"/>
      <w:sz w:val="24"/>
    </w:rPr>
  </w:style>
  <w:style w:type="paragraph" w:customStyle="1" w:styleId="239">
    <w:name w:val="丁华正文"/>
    <w:basedOn w:val="48"/>
    <w:qFormat/>
    <w:uiPriority w:val="0"/>
    <w:pPr>
      <w:adjustRightInd w:val="0"/>
      <w:snapToGrid w:val="0"/>
      <w:spacing w:line="360" w:lineRule="auto"/>
      <w:ind w:left="0" w:firstLine="510"/>
    </w:pPr>
    <w:rPr>
      <w:sz w:val="24"/>
    </w:rPr>
  </w:style>
  <w:style w:type="paragraph" w:customStyle="1" w:styleId="240">
    <w:name w:val="正文 居中"/>
    <w:basedOn w:val="1"/>
    <w:qFormat/>
    <w:uiPriority w:val="0"/>
    <w:pPr>
      <w:spacing w:line="360" w:lineRule="auto"/>
      <w:jc w:val="center"/>
    </w:pPr>
    <w:rPr>
      <w:sz w:val="24"/>
    </w:rPr>
  </w:style>
  <w:style w:type="paragraph" w:customStyle="1" w:styleId="241">
    <w:name w:val="Char Char3"/>
    <w:basedOn w:val="1"/>
    <w:qFormat/>
    <w:uiPriority w:val="0"/>
    <w:rPr>
      <w:rFonts w:ascii="Tahoma" w:hAnsi="Tahoma" w:cs="Tahoma"/>
      <w:sz w:val="24"/>
    </w:rPr>
  </w:style>
  <w:style w:type="paragraph" w:customStyle="1" w:styleId="242">
    <w:name w:val="Char Char Char Char Char"/>
    <w:basedOn w:val="1"/>
    <w:qFormat/>
    <w:uiPriority w:val="0"/>
    <w:rPr>
      <w:rFonts w:ascii="Tahoma" w:hAnsi="Tahoma"/>
      <w:sz w:val="24"/>
    </w:rPr>
  </w:style>
  <w:style w:type="paragraph" w:customStyle="1" w:styleId="243">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4">
    <w:name w:val="Char Char1 Char Char Char Char Char Char Char"/>
    <w:basedOn w:val="1"/>
    <w:qFormat/>
    <w:uiPriority w:val="0"/>
    <w:rPr>
      <w:rFonts w:ascii="Tahoma" w:hAnsi="Tahoma" w:cs="Tahoma"/>
      <w:sz w:val="24"/>
    </w:rPr>
  </w:style>
  <w:style w:type="paragraph" w:customStyle="1" w:styleId="245">
    <w:name w:val="样式"/>
    <w:basedOn w:val="1"/>
    <w:qFormat/>
    <w:uiPriority w:val="0"/>
    <w:pPr>
      <w:autoSpaceDE w:val="0"/>
      <w:autoSpaceDN w:val="0"/>
      <w:snapToGrid w:val="0"/>
      <w:spacing w:before="120" w:after="120" w:line="360" w:lineRule="auto"/>
    </w:pPr>
    <w:rPr>
      <w:rFonts w:ascii="宋体"/>
      <w:sz w:val="24"/>
    </w:rPr>
  </w:style>
  <w:style w:type="paragraph" w:customStyle="1" w:styleId="2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7">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8">
    <w:name w:val="标准小四"/>
    <w:basedOn w:val="1"/>
    <w:qFormat/>
    <w:uiPriority w:val="0"/>
    <w:pPr>
      <w:spacing w:line="360" w:lineRule="auto"/>
      <w:ind w:firstLine="480" w:firstLineChars="200"/>
    </w:pPr>
    <w:rPr>
      <w:rFonts w:ascii="Arial" w:hAnsi="Arial"/>
      <w:sz w:val="24"/>
      <w:szCs w:val="21"/>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0">
    <w:name w:val="Char Char Char Char Char Char Char1"/>
    <w:basedOn w:val="1"/>
    <w:qFormat/>
    <w:uiPriority w:val="0"/>
    <w:rPr>
      <w:rFonts w:ascii="Tahoma" w:hAnsi="Tahoma"/>
      <w:sz w:val="24"/>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4">
    <w:name w:val="默认段落字体 Para Char"/>
    <w:basedOn w:val="1"/>
    <w:qFormat/>
    <w:uiPriority w:val="0"/>
    <w:rPr>
      <w:sz w:val="24"/>
      <w:szCs w:val="24"/>
    </w:rPr>
  </w:style>
  <w:style w:type="paragraph" w:customStyle="1" w:styleId="255">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6">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7">
    <w:name w:val="标题1，章节第一层"/>
    <w:basedOn w:val="258"/>
    <w:next w:val="258"/>
    <w:qFormat/>
    <w:uiPriority w:val="0"/>
    <w:pPr>
      <w:tabs>
        <w:tab w:val="left" w:pos="693"/>
      </w:tabs>
      <w:ind w:left="482"/>
      <w:outlineLvl w:val="0"/>
    </w:pPr>
    <w:rPr>
      <w:color w:val="000000"/>
      <w:sz w:val="24"/>
      <w:szCs w:val="24"/>
    </w:rPr>
  </w:style>
  <w:style w:type="paragraph" w:customStyle="1" w:styleId="25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9">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0">
    <w:name w:val="正文表标题"/>
    <w:next w:val="252"/>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默认段落字体 Para Char Char Char Char Char Char Char"/>
    <w:basedOn w:val="1"/>
    <w:qFormat/>
    <w:uiPriority w:val="0"/>
  </w:style>
  <w:style w:type="paragraph" w:customStyle="1" w:styleId="262">
    <w:name w:val="Char Char Char1"/>
    <w:basedOn w:val="21"/>
    <w:qFormat/>
    <w:uiPriority w:val="0"/>
    <w:pPr>
      <w:spacing w:line="436" w:lineRule="exact"/>
    </w:pPr>
    <w:rPr>
      <w:szCs w:val="24"/>
    </w:rPr>
  </w:style>
  <w:style w:type="paragraph" w:customStyle="1" w:styleId="263">
    <w:name w:val="表格1"/>
    <w:basedOn w:val="1"/>
    <w:qFormat/>
    <w:uiPriority w:val="0"/>
    <w:pPr>
      <w:adjustRightInd w:val="0"/>
      <w:textAlignment w:val="baseline"/>
    </w:pPr>
    <w:rPr>
      <w:rFonts w:ascii="宋体"/>
      <w:kern w:val="24"/>
      <w:szCs w:val="21"/>
    </w:rPr>
  </w:style>
  <w:style w:type="paragraph" w:customStyle="1" w:styleId="264">
    <w:name w:val="项目符号：一级"/>
    <w:basedOn w:val="258"/>
    <w:next w:val="258"/>
    <w:qFormat/>
    <w:uiPriority w:val="0"/>
    <w:pPr>
      <w:ind w:right="-134" w:rightChars="-64"/>
    </w:pPr>
    <w:rPr>
      <w:bCs w:val="0"/>
    </w:rPr>
  </w:style>
  <w:style w:type="paragraph" w:customStyle="1" w:styleId="2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6">
    <w:name w:val="Char1 Char Char Char1"/>
    <w:basedOn w:val="1"/>
    <w:qFormat/>
    <w:uiPriority w:val="0"/>
    <w:rPr>
      <w:rFonts w:ascii="Tahoma" w:hAnsi="Tahoma" w:cs="Tahoma"/>
      <w:sz w:val="24"/>
    </w:rPr>
  </w:style>
  <w:style w:type="paragraph" w:customStyle="1" w:styleId="267">
    <w:name w:val="样式 标题 2第一章 标题 2Heading 2 HiddenHeading 2 CCBSheading 2H2h2..."/>
    <w:basedOn w:val="2"/>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8">
    <w:name w:val="正文文本缩进1"/>
    <w:basedOn w:val="1"/>
    <w:qFormat/>
    <w:uiPriority w:val="0"/>
    <w:pPr>
      <w:spacing w:after="120"/>
      <w:ind w:left="420" w:leftChars="200"/>
    </w:pPr>
    <w:rPr>
      <w:szCs w:val="24"/>
    </w:rPr>
  </w:style>
  <w:style w:type="paragraph" w:customStyle="1" w:styleId="26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0">
    <w:name w:val="表格"/>
    <w:basedOn w:val="1"/>
    <w:qFormat/>
    <w:uiPriority w:val="0"/>
    <w:pPr>
      <w:snapToGrid w:val="0"/>
      <w:ind w:firstLine="21" w:firstLineChars="21"/>
    </w:pPr>
    <w:rPr>
      <w:rFonts w:ascii="宋体" w:hAnsi="宋体" w:cs="宋体"/>
      <w:kern w:val="0"/>
      <w:sz w:val="20"/>
    </w:rPr>
  </w:style>
  <w:style w:type="paragraph" w:customStyle="1" w:styleId="271">
    <w:name w:val="Char Char Char Char Char Char Char"/>
    <w:basedOn w:val="1"/>
    <w:qFormat/>
    <w:uiPriority w:val="0"/>
    <w:pPr>
      <w:jc w:val="left"/>
    </w:pPr>
    <w:rPr>
      <w:rFonts w:ascii="Tahoma" w:hAnsi="Tahoma"/>
      <w:sz w:val="24"/>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3">
    <w:name w:val="表格内文字"/>
    <w:basedOn w:val="1"/>
    <w:qFormat/>
    <w:uiPriority w:val="0"/>
    <w:pPr>
      <w:spacing w:line="300" w:lineRule="atLeast"/>
    </w:pPr>
    <w:rPr>
      <w:sz w:val="18"/>
      <w:szCs w:val="24"/>
    </w:rPr>
  </w:style>
  <w:style w:type="paragraph" w:customStyle="1" w:styleId="274">
    <w:name w:val="样式3"/>
    <w:basedOn w:val="1"/>
    <w:next w:val="1"/>
    <w:qFormat/>
    <w:uiPriority w:val="0"/>
    <w:pPr>
      <w:spacing w:line="360" w:lineRule="auto"/>
    </w:pPr>
  </w:style>
  <w:style w:type="paragraph" w:customStyle="1" w:styleId="275">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7">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8">
    <w:name w:val="符号与编号 Char"/>
    <w:basedOn w:val="1"/>
    <w:qFormat/>
    <w:uiPriority w:val="0"/>
    <w:pPr>
      <w:tabs>
        <w:tab w:val="left" w:pos="720"/>
      </w:tabs>
      <w:spacing w:afterLines="50" w:line="400" w:lineRule="atLeast"/>
      <w:ind w:left="720"/>
    </w:pPr>
    <w:rPr>
      <w:sz w:val="24"/>
      <w:szCs w:val="24"/>
    </w:rPr>
  </w:style>
  <w:style w:type="paragraph" w:customStyle="1" w:styleId="279">
    <w:name w:val="正文2"/>
    <w:basedOn w:val="1"/>
    <w:qFormat/>
    <w:uiPriority w:val="0"/>
    <w:pPr>
      <w:spacing w:before="156" w:line="360" w:lineRule="auto"/>
      <w:ind w:firstLine="510" w:firstLineChars="20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1">
    <w:name w:val="章标题"/>
    <w:next w:val="252"/>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2">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3">
    <w:name w:val="Char1"/>
    <w:basedOn w:val="1"/>
    <w:qFormat/>
    <w:uiPriority w:val="0"/>
    <w:rPr>
      <w:rFonts w:ascii="仿宋_GB2312" w:hAnsi="宋体" w:eastAsia="仿宋_GB2312" w:cs="宋体"/>
      <w:b/>
      <w:sz w:val="32"/>
      <w:szCs w:val="32"/>
    </w:rPr>
  </w:style>
  <w:style w:type="paragraph" w:customStyle="1" w:styleId="284">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6">
    <w:name w:val="Char Char Char Char Char Char Char Char Char1"/>
    <w:basedOn w:val="1"/>
    <w:qFormat/>
    <w:uiPriority w:val="0"/>
    <w:pPr>
      <w:tabs>
        <w:tab w:val="left" w:pos="360"/>
      </w:tabs>
      <w:ind w:left="360" w:hanging="360" w:hangingChars="200"/>
    </w:pPr>
    <w:rPr>
      <w:sz w:val="24"/>
      <w:szCs w:val="24"/>
    </w:rPr>
  </w:style>
  <w:style w:type="paragraph" w:customStyle="1" w:styleId="28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9">
    <w:name w:val="标题3，章节第三层"/>
    <w:basedOn w:val="1"/>
    <w:next w:val="258"/>
    <w:qFormat/>
    <w:uiPriority w:val="0"/>
    <w:pPr>
      <w:adjustRightInd w:val="0"/>
      <w:snapToGrid w:val="0"/>
      <w:spacing w:before="78" w:line="300" w:lineRule="auto"/>
      <w:outlineLvl w:val="2"/>
    </w:pPr>
    <w:rPr>
      <w:rFonts w:ascii="Arial" w:hAnsi="Arial" w:eastAsia="华文细黑"/>
      <w:sz w:val="30"/>
      <w:szCs w:val="24"/>
    </w:rPr>
  </w:style>
  <w:style w:type="paragraph" w:customStyle="1" w:styleId="290">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1">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3">
    <w:name w:val="Char Char Char Char Char Char Char Char Char Char Char Char Char Char Char Char Char Char Char Char Char1"/>
    <w:basedOn w:val="1"/>
    <w:qFormat/>
    <w:uiPriority w:val="0"/>
    <w:rPr>
      <w:rFonts w:ascii="Tahoma" w:hAnsi="Tahoma" w:cs="Tahoma"/>
      <w:sz w:val="24"/>
    </w:rPr>
  </w:style>
  <w:style w:type="paragraph" w:customStyle="1" w:styleId="29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5">
    <w:name w:val="font11"/>
    <w:basedOn w:val="1"/>
    <w:qFormat/>
    <w:uiPriority w:val="0"/>
    <w:pPr>
      <w:widowControl/>
      <w:spacing w:before="100" w:beforeAutospacing="1" w:after="100" w:afterAutospacing="1"/>
      <w:jc w:val="left"/>
    </w:pPr>
    <w:rPr>
      <w:b/>
      <w:bCs/>
      <w:kern w:val="0"/>
      <w:sz w:val="18"/>
      <w:szCs w:val="18"/>
    </w:rPr>
  </w:style>
  <w:style w:type="paragraph" w:customStyle="1" w:styleId="2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7">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9">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1">
    <w:name w:val="普通文字"/>
    <w:basedOn w:val="1"/>
    <w:next w:val="1"/>
    <w:qFormat/>
    <w:uiPriority w:val="0"/>
    <w:rPr>
      <w:rFonts w:ascii="宋体" w:hAnsi="宋体" w:cs="宋体"/>
      <w:kern w:val="0"/>
      <w:sz w:val="24"/>
      <w:u w:color="000000"/>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3">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4">
    <w:name w:val="标题3"/>
    <w:basedOn w:val="4"/>
    <w:qFormat/>
    <w:uiPriority w:val="0"/>
    <w:pPr>
      <w:keepNext w:val="0"/>
      <w:keepLines w:val="0"/>
      <w:spacing w:line="360" w:lineRule="auto"/>
    </w:pPr>
    <w:rPr>
      <w:rFonts w:eastAsia="仿宋_GB2312"/>
      <w:b w:val="0"/>
      <w:bCs/>
      <w:sz w:val="30"/>
      <w:szCs w:val="32"/>
    </w:rPr>
  </w:style>
  <w:style w:type="paragraph" w:customStyle="1" w:styleId="305">
    <w:name w:val="retrait3"/>
    <w:basedOn w:val="1"/>
    <w:qFormat/>
    <w:uiPriority w:val="0"/>
    <w:pPr>
      <w:widowControl/>
      <w:spacing w:before="20" w:after="20"/>
      <w:ind w:left="851"/>
      <w:jc w:val="left"/>
    </w:pPr>
    <w:rPr>
      <w:rFonts w:ascii="Arial" w:hAnsi="Arial"/>
      <w:kern w:val="0"/>
      <w:sz w:val="24"/>
      <w:lang w:val="en-GB"/>
    </w:rPr>
  </w:style>
  <w:style w:type="paragraph" w:customStyle="1" w:styleId="306">
    <w:name w:val="项目符号，一级"/>
    <w:basedOn w:val="258"/>
    <w:next w:val="258"/>
    <w:qFormat/>
    <w:uiPriority w:val="0"/>
    <w:pPr>
      <w:tabs>
        <w:tab w:val="left" w:pos="1320"/>
      </w:tabs>
      <w:spacing w:line="240" w:lineRule="atLeast"/>
      <w:ind w:left="376" w:leftChars="179" w:firstLine="0"/>
    </w:pPr>
    <w:rPr>
      <w:bCs w:val="0"/>
      <w:color w:val="000000"/>
      <w:szCs w:val="24"/>
    </w:rPr>
  </w:style>
  <w:style w:type="paragraph" w:customStyle="1" w:styleId="30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0">
    <w:name w:val="表头_5"/>
    <w:basedOn w:val="1"/>
    <w:qFormat/>
    <w:uiPriority w:val="0"/>
    <w:pPr>
      <w:adjustRightInd w:val="0"/>
      <w:spacing w:line="360" w:lineRule="auto"/>
      <w:textAlignment w:val="baseline"/>
    </w:pPr>
    <w:rPr>
      <w:b/>
      <w:bCs/>
      <w:sz w:val="28"/>
      <w:szCs w:val="21"/>
    </w:rPr>
  </w:style>
  <w:style w:type="paragraph" w:customStyle="1" w:styleId="3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2">
    <w:name w:val="_Style 42"/>
    <w:basedOn w:val="1"/>
    <w:next w:val="26"/>
    <w:qFormat/>
    <w:uiPriority w:val="0"/>
    <w:rPr>
      <w:rFonts w:ascii="楷体_GB2312" w:hAnsi="Arial" w:eastAsia="楷体_GB2312"/>
      <w:sz w:val="28"/>
    </w:rPr>
  </w:style>
  <w:style w:type="paragraph" w:customStyle="1" w:styleId="31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4">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8">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9">
    <w:name w:val="Char Char Char Char Char Char Char Char Char Char Char Char Char"/>
    <w:basedOn w:val="21"/>
    <w:qFormat/>
    <w:uiPriority w:val="0"/>
    <w:rPr>
      <w:rFonts w:ascii="Tahoma" w:hAnsi="Tahoma"/>
      <w:sz w:val="24"/>
      <w:szCs w:val="24"/>
    </w:rPr>
  </w:style>
  <w:style w:type="paragraph" w:customStyle="1" w:styleId="3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1">
    <w:name w:val="段落"/>
    <w:basedOn w:val="1"/>
    <w:qFormat/>
    <w:uiPriority w:val="0"/>
    <w:pPr>
      <w:spacing w:line="460" w:lineRule="exact"/>
      <w:ind w:firstLine="480"/>
    </w:pPr>
    <w:rPr>
      <w:sz w:val="24"/>
    </w:rPr>
  </w:style>
  <w:style w:type="paragraph" w:customStyle="1" w:styleId="322">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3">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4">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5">
    <w:name w:val="font9"/>
    <w:basedOn w:val="1"/>
    <w:qFormat/>
    <w:uiPriority w:val="0"/>
    <w:pPr>
      <w:widowControl/>
      <w:spacing w:before="100" w:beforeAutospacing="1" w:after="100" w:afterAutospacing="1"/>
      <w:jc w:val="left"/>
    </w:pPr>
    <w:rPr>
      <w:b/>
      <w:bCs/>
      <w:kern w:val="0"/>
      <w:sz w:val="20"/>
    </w:rPr>
  </w:style>
  <w:style w:type="paragraph" w:customStyle="1" w:styleId="326">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7">
    <w:name w:val="Char1 Char Char Char"/>
    <w:basedOn w:val="1"/>
    <w:qFormat/>
    <w:uiPriority w:val="0"/>
    <w:rPr>
      <w:rFonts w:ascii="Tahoma" w:hAnsi="Tahoma"/>
      <w:sz w:val="24"/>
    </w:rPr>
  </w:style>
  <w:style w:type="paragraph" w:customStyle="1" w:styleId="328">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9">
    <w:name w:val="样式2"/>
    <w:basedOn w:val="1"/>
    <w:qFormat/>
    <w:uiPriority w:val="0"/>
    <w:pPr>
      <w:spacing w:line="360" w:lineRule="auto"/>
      <w:ind w:left="200" w:leftChars="200"/>
    </w:pPr>
    <w:rPr>
      <w:rFonts w:ascii="宋体" w:hAnsi="宋体"/>
      <w:b/>
      <w:sz w:val="24"/>
      <w:szCs w:val="24"/>
    </w:rPr>
  </w:style>
  <w:style w:type="paragraph" w:customStyle="1" w:styleId="330">
    <w:name w:val="条1"/>
    <w:basedOn w:val="1"/>
    <w:qFormat/>
    <w:uiPriority w:val="0"/>
    <w:pPr>
      <w:tabs>
        <w:tab w:val="left" w:pos="780"/>
      </w:tabs>
      <w:spacing w:before="156" w:line="360" w:lineRule="auto"/>
      <w:ind w:left="780" w:hanging="360"/>
    </w:pPr>
    <w:rPr>
      <w:rFonts w:eastAsia="黑体"/>
      <w:sz w:val="24"/>
    </w:rPr>
  </w:style>
  <w:style w:type="paragraph" w:customStyle="1" w:styleId="331">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2">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3">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5">
    <w:name w:val="1"/>
    <w:basedOn w:val="1"/>
    <w:next w:val="54"/>
    <w:qFormat/>
    <w:uiPriority w:val="0"/>
    <w:pPr>
      <w:spacing w:line="360" w:lineRule="auto"/>
    </w:pPr>
    <w:rPr>
      <w:rFonts w:eastAsia="仿宋_GB2312"/>
      <w:sz w:val="24"/>
      <w:szCs w:val="24"/>
    </w:rPr>
  </w:style>
  <w:style w:type="paragraph" w:customStyle="1" w:styleId="336">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7">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4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1">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2">
    <w:name w:val="公文正文"/>
    <w:basedOn w:val="7"/>
    <w:qFormat/>
    <w:uiPriority w:val="0"/>
    <w:pPr>
      <w:ind w:firstLine="200" w:firstLineChars="200"/>
    </w:pPr>
    <w:rPr>
      <w:rFonts w:ascii="仿宋_GB2312" w:hAnsi="宋体" w:eastAsia="仿宋_GB2312"/>
      <w:kern w:val="28"/>
      <w:sz w:val="28"/>
      <w:szCs w:val="24"/>
    </w:rPr>
  </w:style>
  <w:style w:type="paragraph" w:customStyle="1" w:styleId="343">
    <w:name w:val="马刚标题4"/>
    <w:basedOn w:val="344"/>
    <w:next w:val="1"/>
    <w:qFormat/>
    <w:uiPriority w:val="0"/>
    <w:pPr>
      <w:tabs>
        <w:tab w:val="left" w:pos="567"/>
        <w:tab w:val="left" w:pos="735"/>
        <w:tab w:val="left" w:pos="1050"/>
      </w:tabs>
      <w:spacing w:before="100" w:after="40"/>
      <w:outlineLvl w:val="3"/>
    </w:pPr>
    <w:rPr>
      <w:b w:val="0"/>
    </w:rPr>
  </w:style>
  <w:style w:type="paragraph" w:customStyle="1" w:styleId="34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6">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7">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8">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9">
    <w:name w:val="丁华标题3"/>
    <w:basedOn w:val="350"/>
    <w:next w:val="239"/>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0">
    <w:name w:val="丁华标题2"/>
    <w:basedOn w:val="2"/>
    <w:next w:val="239"/>
    <w:qFormat/>
    <w:uiPriority w:val="0"/>
    <w:pPr>
      <w:numPr>
        <w:ilvl w:val="1"/>
        <w:numId w:val="3"/>
      </w:numPr>
      <w:spacing w:line="413" w:lineRule="auto"/>
    </w:pPr>
    <w:rPr>
      <w:rFonts w:ascii="Arial" w:hAnsi="Arial" w:eastAsia="黑体"/>
      <w:b w:val="0"/>
      <w:sz w:val="28"/>
      <w:szCs w:val="20"/>
    </w:rPr>
  </w:style>
  <w:style w:type="paragraph" w:customStyle="1" w:styleId="351">
    <w:name w:val="修订1"/>
    <w:qFormat/>
    <w:uiPriority w:val="0"/>
    <w:rPr>
      <w:rFonts w:ascii="Times New Roman" w:hAnsi="Times New Roman" w:eastAsia="宋体" w:cs="Times New Roman"/>
      <w:kern w:val="2"/>
      <w:sz w:val="21"/>
      <w:szCs w:val="24"/>
      <w:lang w:val="en-US" w:eastAsia="zh-CN" w:bidi="ar-SA"/>
    </w:rPr>
  </w:style>
  <w:style w:type="paragraph" w:customStyle="1" w:styleId="352">
    <w:name w:val="Char"/>
    <w:basedOn w:val="1"/>
    <w:qFormat/>
    <w:uiPriority w:val="0"/>
    <w:pPr>
      <w:spacing w:afterLines="50" w:line="360" w:lineRule="auto"/>
    </w:pPr>
    <w:rPr>
      <w:rFonts w:ascii="Tahoma" w:hAnsi="Tahoma"/>
      <w:sz w:val="24"/>
    </w:rPr>
  </w:style>
  <w:style w:type="paragraph" w:customStyle="1" w:styleId="353">
    <w:name w:val="项目符号，二级"/>
    <w:basedOn w:val="258"/>
    <w:next w:val="258"/>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4">
    <w:name w:val="_Style 1"/>
    <w:basedOn w:val="1"/>
    <w:qFormat/>
    <w:uiPriority w:val="0"/>
    <w:pPr>
      <w:ind w:firstLine="420" w:firstLineChars="200"/>
    </w:pPr>
    <w:rPr>
      <w:rFonts w:ascii="Calibri" w:hAnsi="Calibri"/>
      <w:szCs w:val="22"/>
    </w:rPr>
  </w:style>
  <w:style w:type="paragraph" w:customStyle="1" w:styleId="355">
    <w:name w:val="Char Char Char Char Char Char Char Char Char Char Char Char Char Char1"/>
    <w:basedOn w:val="1"/>
    <w:qFormat/>
    <w:uiPriority w:val="0"/>
    <w:rPr>
      <w:rFonts w:ascii="Tahoma" w:hAnsi="Tahoma" w:cs="Tahoma"/>
      <w:sz w:val="24"/>
    </w:rPr>
  </w:style>
  <w:style w:type="paragraph" w:customStyle="1" w:styleId="356">
    <w:name w:val="Char Char Char Char Char1"/>
    <w:basedOn w:val="1"/>
    <w:qFormat/>
    <w:uiPriority w:val="0"/>
    <w:rPr>
      <w:rFonts w:ascii="Tahoma" w:hAnsi="Tahoma" w:cs="Tahoma"/>
      <w:sz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9">
    <w:name w:val="符号与编号"/>
    <w:basedOn w:val="1"/>
    <w:qFormat/>
    <w:uiPriority w:val="0"/>
    <w:pPr>
      <w:tabs>
        <w:tab w:val="left" w:pos="900"/>
      </w:tabs>
      <w:spacing w:afterLines="50" w:line="400" w:lineRule="atLeast"/>
      <w:ind w:left="900" w:hanging="420"/>
    </w:pPr>
    <w:rPr>
      <w:sz w:val="24"/>
      <w:szCs w:val="24"/>
    </w:rPr>
  </w:style>
  <w:style w:type="paragraph" w:customStyle="1" w:styleId="360">
    <w:name w:val="样式1"/>
    <w:basedOn w:val="1"/>
    <w:qFormat/>
    <w:uiPriority w:val="0"/>
    <w:pPr>
      <w:spacing w:line="300" w:lineRule="auto"/>
      <w:ind w:firstLine="480" w:firstLineChars="200"/>
    </w:pPr>
    <w:rPr>
      <w:sz w:val="24"/>
      <w:szCs w:val="24"/>
    </w:rPr>
  </w:style>
  <w:style w:type="paragraph" w:customStyle="1" w:styleId="361">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4">
    <w:name w:val="正文 首行缩进:  2 字符 Char"/>
    <w:basedOn w:val="1"/>
    <w:qFormat/>
    <w:uiPriority w:val="0"/>
    <w:pPr>
      <w:spacing w:line="360" w:lineRule="auto"/>
      <w:ind w:firstLine="480"/>
    </w:pPr>
    <w:rPr>
      <w:rFonts w:cs="宋体"/>
      <w:sz w:val="24"/>
    </w:rPr>
  </w:style>
  <w:style w:type="paragraph" w:customStyle="1" w:styleId="365">
    <w:name w:val="Char2"/>
    <w:basedOn w:val="1"/>
    <w:qFormat/>
    <w:uiPriority w:val="0"/>
    <w:rPr>
      <w:rFonts w:ascii="Tahoma" w:hAnsi="Tahoma" w:cs="仿宋_GB2312"/>
      <w:sz w:val="24"/>
      <w:szCs w:val="28"/>
    </w:rPr>
  </w:style>
  <w:style w:type="paragraph" w:customStyle="1" w:styleId="366">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7">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8">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9">
    <w:name w:val="论文正文"/>
    <w:basedOn w:val="35"/>
    <w:qFormat/>
    <w:uiPriority w:val="0"/>
    <w:pPr>
      <w:spacing w:line="360" w:lineRule="auto"/>
      <w:ind w:left="0" w:firstLine="200" w:firstLineChars="200"/>
      <w:jc w:val="left"/>
    </w:pPr>
    <w:rPr>
      <w:sz w:val="28"/>
      <w:szCs w:val="24"/>
    </w:rPr>
  </w:style>
  <w:style w:type="paragraph" w:customStyle="1" w:styleId="370">
    <w:name w:val="列出段落3"/>
    <w:basedOn w:val="1"/>
    <w:qFormat/>
    <w:uiPriority w:val="0"/>
    <w:pPr>
      <w:ind w:firstLine="420" w:firstLineChars="200"/>
    </w:pPr>
    <w:rPr>
      <w:szCs w:val="24"/>
    </w:rPr>
  </w:style>
  <w:style w:type="paragraph" w:customStyle="1" w:styleId="371">
    <w:name w:val="丁华标题1"/>
    <w:basedOn w:val="3"/>
    <w:next w:val="239"/>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2">
    <w:name w:val="插图"/>
    <w:basedOn w:val="1"/>
    <w:qFormat/>
    <w:uiPriority w:val="0"/>
    <w:pPr>
      <w:tabs>
        <w:tab w:val="left" w:pos="1620"/>
      </w:tabs>
      <w:adjustRightInd w:val="0"/>
      <w:jc w:val="center"/>
    </w:pPr>
    <w:rPr>
      <w:bCs/>
      <w:color w:val="000000"/>
      <w:szCs w:val="22"/>
    </w:rPr>
  </w:style>
  <w:style w:type="paragraph" w:customStyle="1" w:styleId="373">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6">
    <w:name w:val="标题2，章节第二层"/>
    <w:basedOn w:val="1"/>
    <w:next w:val="258"/>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7">
    <w:name w:val="样式 标题 3H3sect1.2.3BOD 0Heading 3 - oldh3l3CTLevel 3 Head..."/>
    <w:basedOn w:val="4"/>
    <w:qFormat/>
    <w:uiPriority w:val="0"/>
    <w:pPr>
      <w:spacing w:beforeLines="50" w:afterLines="50"/>
      <w:jc w:val="left"/>
    </w:pPr>
    <w:rPr>
      <w:rFonts w:cs="宋体"/>
      <w:bCs/>
      <w:sz w:val="30"/>
    </w:rPr>
  </w:style>
  <w:style w:type="paragraph" w:customStyle="1" w:styleId="378">
    <w:name w:val="Char Char Char Char Char Char Char Char Char Char Char1"/>
    <w:basedOn w:val="1"/>
    <w:qFormat/>
    <w:uiPriority w:val="0"/>
    <w:rPr>
      <w:rFonts w:ascii="Tahoma" w:hAnsi="Tahoma"/>
      <w:sz w:val="24"/>
    </w:rPr>
  </w:style>
  <w:style w:type="paragraph" w:customStyle="1" w:styleId="379">
    <w:name w:val="tableau"/>
    <w:basedOn w:val="1"/>
    <w:qFormat/>
    <w:uiPriority w:val="0"/>
    <w:pPr>
      <w:widowControl/>
      <w:spacing w:before="20" w:after="20"/>
      <w:jc w:val="center"/>
    </w:pPr>
    <w:rPr>
      <w:rFonts w:ascii="Arial" w:hAnsi="Arial"/>
      <w:kern w:val="0"/>
      <w:sz w:val="16"/>
      <w:lang w:val="en-GB" w:eastAsia="en-US"/>
    </w:rPr>
  </w:style>
  <w:style w:type="paragraph" w:customStyle="1" w:styleId="380">
    <w:name w:val="font14"/>
    <w:basedOn w:val="1"/>
    <w:qFormat/>
    <w:uiPriority w:val="0"/>
    <w:pPr>
      <w:widowControl/>
      <w:spacing w:before="100" w:beforeAutospacing="1" w:after="100" w:afterAutospacing="1"/>
      <w:jc w:val="left"/>
    </w:pPr>
    <w:rPr>
      <w:kern w:val="0"/>
      <w:sz w:val="36"/>
      <w:szCs w:val="36"/>
    </w:rPr>
  </w:style>
  <w:style w:type="paragraph" w:customStyle="1" w:styleId="3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2">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3">
    <w:name w:val="Test2"/>
    <w:basedOn w:val="2"/>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5">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6">
    <w:name w:val="Char Char Char Char Char Char Char Char Char Char Char Char Char Char Char Char Char Char Char Char Char Char Char"/>
    <w:basedOn w:val="1"/>
    <w:qFormat/>
    <w:uiPriority w:val="0"/>
    <w:rPr>
      <w:rFonts w:ascii="Tahoma" w:hAnsi="Tahoma"/>
      <w:sz w:val="24"/>
    </w:rPr>
  </w:style>
  <w:style w:type="paragraph" w:customStyle="1" w:styleId="387">
    <w:name w:val="Default Text"/>
    <w:basedOn w:val="1"/>
    <w:qFormat/>
    <w:uiPriority w:val="0"/>
    <w:pPr>
      <w:widowControl/>
      <w:jc w:val="left"/>
    </w:pPr>
    <w:rPr>
      <w:kern w:val="0"/>
      <w:sz w:val="24"/>
      <w:lang w:eastAsia="en-US"/>
    </w:rPr>
  </w:style>
  <w:style w:type="paragraph" w:customStyle="1" w:styleId="3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9">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0">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2">
    <w:name w:val="二级条标题"/>
    <w:basedOn w:val="1"/>
    <w:next w:val="252"/>
    <w:qFormat/>
    <w:uiPriority w:val="0"/>
    <w:pPr>
      <w:widowControl/>
      <w:tabs>
        <w:tab w:val="left" w:pos="2240"/>
      </w:tabs>
      <w:ind w:hanging="420"/>
      <w:outlineLvl w:val="3"/>
    </w:pPr>
    <w:rPr>
      <w:rFonts w:eastAsia="黑体"/>
      <w:kern w:val="0"/>
    </w:rPr>
  </w:style>
  <w:style w:type="paragraph" w:customStyle="1" w:styleId="393">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4">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5">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6">
    <w:name w:val="正文 + 宋体"/>
    <w:basedOn w:val="1"/>
    <w:qFormat/>
    <w:uiPriority w:val="0"/>
    <w:pPr>
      <w:spacing w:line="360" w:lineRule="auto"/>
      <w:ind w:firstLine="420" w:firstLineChars="200"/>
    </w:pPr>
    <w:rPr>
      <w:szCs w:val="24"/>
    </w:rPr>
  </w:style>
  <w:style w:type="paragraph" w:customStyle="1" w:styleId="397">
    <w:name w:val="Char Char Char Char Char Char Char Char1"/>
    <w:basedOn w:val="1"/>
    <w:qFormat/>
    <w:uiPriority w:val="0"/>
    <w:rPr>
      <w:rFonts w:ascii="Tahoma" w:hAnsi="Tahoma" w:cs="Tahoma"/>
      <w:sz w:val="24"/>
    </w:rPr>
  </w:style>
  <w:style w:type="paragraph" w:customStyle="1" w:styleId="398">
    <w:name w:val="Char Char Char Char1"/>
    <w:basedOn w:val="21"/>
    <w:qFormat/>
    <w:uiPriority w:val="0"/>
    <w:pPr>
      <w:adjustRightInd w:val="0"/>
      <w:snapToGrid w:val="0"/>
      <w:spacing w:line="360" w:lineRule="auto"/>
    </w:pPr>
    <w:rPr>
      <w:rFonts w:ascii="Tahoma" w:hAnsi="Tahoma"/>
      <w:sz w:val="24"/>
      <w:szCs w:val="24"/>
    </w:rPr>
  </w:style>
  <w:style w:type="paragraph" w:customStyle="1" w:styleId="399">
    <w:name w:val="正文1"/>
    <w:basedOn w:val="1"/>
    <w:qFormat/>
    <w:uiPriority w:val="0"/>
    <w:rPr>
      <w:rFonts w:ascii="Calibri" w:hAnsi="Calibri" w:eastAsia="Times New Roman" w:cs="宋体"/>
      <w:kern w:val="0"/>
      <w:lang w:val="zh-CN"/>
    </w:rPr>
  </w:style>
  <w:style w:type="paragraph" w:customStyle="1" w:styleId="400">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1">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2">
    <w:name w:val="Normal1"/>
    <w:basedOn w:val="1"/>
    <w:qFormat/>
    <w:uiPriority w:val="0"/>
    <w:rPr>
      <w:rFonts w:ascii="Calibri" w:hAnsi="Calibri" w:eastAsia="Times New Roman" w:cs="宋体"/>
      <w:kern w:val="0"/>
      <w:lang w:val="zh-CN"/>
    </w:rPr>
  </w:style>
  <w:style w:type="paragraph" w:customStyle="1" w:styleId="403">
    <w:name w:val="纯文本1"/>
    <w:basedOn w:val="1"/>
    <w:qFormat/>
    <w:uiPriority w:val="0"/>
    <w:pPr>
      <w:adjustRightInd w:val="0"/>
      <w:textAlignment w:val="baseline"/>
    </w:pPr>
    <w:rPr>
      <w:rFonts w:ascii="宋体" w:hAnsi="宋体" w:eastAsia="楷体_GB2312" w:cs="宋体"/>
      <w:sz w:val="28"/>
    </w:rPr>
  </w:style>
  <w:style w:type="paragraph" w:customStyle="1" w:styleId="404">
    <w:name w:val="正文lzq"/>
    <w:basedOn w:val="1"/>
    <w:qFormat/>
    <w:uiPriority w:val="0"/>
    <w:pPr>
      <w:adjustRightInd w:val="0"/>
      <w:spacing w:line="360" w:lineRule="auto"/>
      <w:ind w:firstLine="480"/>
      <w:textAlignment w:val="baseline"/>
    </w:pPr>
    <w:rPr>
      <w:kern w:val="0"/>
      <w:sz w:val="24"/>
    </w:rPr>
  </w:style>
  <w:style w:type="paragraph" w:customStyle="1" w:styleId="405">
    <w:name w:val="列表内容"/>
    <w:basedOn w:val="1"/>
    <w:next w:val="1"/>
    <w:qFormat/>
    <w:uiPriority w:val="0"/>
    <w:pPr>
      <w:widowControl/>
      <w:tabs>
        <w:tab w:val="left" w:pos="840"/>
      </w:tabs>
      <w:ind w:left="840" w:hanging="420"/>
      <w:jc w:val="left"/>
    </w:pPr>
    <w:rPr>
      <w:kern w:val="0"/>
      <w:sz w:val="18"/>
      <w:szCs w:val="24"/>
    </w:rPr>
  </w:style>
  <w:style w:type="paragraph" w:customStyle="1" w:styleId="406">
    <w:name w:val="Char Char Char Char Char Char Char Char Char Char Char Char Char Char Char Char Char Char Char Char Char"/>
    <w:basedOn w:val="1"/>
    <w:qFormat/>
    <w:uiPriority w:val="0"/>
    <w:rPr>
      <w:rFonts w:ascii="Tahoma" w:hAnsi="Tahoma"/>
      <w:sz w:val="24"/>
    </w:rPr>
  </w:style>
  <w:style w:type="paragraph" w:customStyle="1" w:styleId="407">
    <w:name w:val="Char Char Char"/>
    <w:basedOn w:val="1"/>
    <w:qFormat/>
    <w:uiPriority w:val="0"/>
    <w:rPr>
      <w:rFonts w:ascii="Tahoma" w:hAnsi="Tahoma"/>
      <w:sz w:val="24"/>
    </w:rPr>
  </w:style>
  <w:style w:type="paragraph" w:customStyle="1" w:styleId="40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9">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1">
    <w:name w:val="公文标题 2"/>
    <w:basedOn w:val="1"/>
    <w:next w:val="342"/>
    <w:qFormat/>
    <w:uiPriority w:val="0"/>
    <w:pPr>
      <w:outlineLvl w:val="1"/>
    </w:pPr>
    <w:rPr>
      <w:rFonts w:ascii="仿宋_GB2312" w:hAnsi="宋体" w:eastAsia="仿宋_GB2312"/>
      <w:kern w:val="28"/>
      <w:sz w:val="28"/>
      <w:szCs w:val="24"/>
    </w:rPr>
  </w:style>
  <w:style w:type="paragraph" w:customStyle="1" w:styleId="412">
    <w:name w:val="文档正文"/>
    <w:basedOn w:val="1"/>
    <w:qFormat/>
    <w:uiPriority w:val="0"/>
    <w:pPr>
      <w:spacing w:line="360" w:lineRule="auto"/>
    </w:pPr>
    <w:rPr>
      <w:rFonts w:ascii="宋体" w:hAnsi="宋体"/>
      <w:b/>
      <w:bCs/>
      <w:szCs w:val="24"/>
    </w:rPr>
  </w:style>
  <w:style w:type="paragraph" w:customStyle="1" w:styleId="413">
    <w:name w:val="Char Char Char Char Char Char Char Char Char Char Char"/>
    <w:basedOn w:val="1"/>
    <w:qFormat/>
    <w:uiPriority w:val="0"/>
    <w:rPr>
      <w:rFonts w:ascii="Tahoma" w:hAnsi="Tahoma" w:cs="Tahoma"/>
      <w:sz w:val="24"/>
    </w:rPr>
  </w:style>
  <w:style w:type="paragraph" w:customStyle="1" w:styleId="414">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5">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6">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7">
    <w:name w:val="批注文字 Char1"/>
    <w:basedOn w:val="62"/>
    <w:semiHidden/>
    <w:qFormat/>
    <w:uiPriority w:val="99"/>
    <w:rPr>
      <w:rFonts w:ascii="Times New Roman" w:hAnsi="Times New Roman" w:eastAsia="宋体" w:cs="Times New Roman"/>
      <w:szCs w:val="24"/>
    </w:rPr>
  </w:style>
  <w:style w:type="paragraph" w:styleId="418">
    <w:name w:val="List Paragraph"/>
    <w:basedOn w:val="1"/>
    <w:qFormat/>
    <w:uiPriority w:val="99"/>
    <w:pPr>
      <w:ind w:firstLine="420" w:firstLineChars="200"/>
    </w:pPr>
    <w:rPr>
      <w:szCs w:val="24"/>
    </w:rPr>
  </w:style>
  <w:style w:type="paragraph" w:customStyle="1" w:styleId="419">
    <w:name w:val="模板普通正文"/>
    <w:basedOn w:val="7"/>
    <w:qFormat/>
    <w:uiPriority w:val="0"/>
    <w:pPr>
      <w:spacing w:beforeLines="50" w:after="10"/>
      <w:ind w:firstLine="490" w:firstLineChars="175"/>
      <w:jc w:val="left"/>
    </w:pPr>
  </w:style>
  <w:style w:type="paragraph" w:customStyle="1" w:styleId="420">
    <w:name w:val="H2"/>
    <w:basedOn w:val="4"/>
    <w:next w:val="1"/>
    <w:qFormat/>
    <w:uiPriority w:val="0"/>
    <w:pPr>
      <w:keepNext w:val="0"/>
      <w:keepLines w:val="0"/>
      <w:spacing w:line="360" w:lineRule="auto"/>
      <w:jc w:val="center"/>
    </w:pPr>
    <w:rPr>
      <w:rFonts w:cs="Arial"/>
      <w:color w:val="000000"/>
      <w:szCs w:val="21"/>
    </w:rPr>
  </w:style>
  <w:style w:type="table" w:customStyle="1" w:styleId="421">
    <w:name w:val="TableGrid"/>
    <w:qFormat/>
    <w:uiPriority w:val="0"/>
    <w:tblPr>
      <w:tblCellMar>
        <w:top w:w="0" w:type="dxa"/>
        <w:left w:w="0" w:type="dxa"/>
        <w:bottom w:w="0" w:type="dxa"/>
        <w:right w:w="0" w:type="dxa"/>
      </w:tblCellMar>
    </w:tblPr>
  </w:style>
  <w:style w:type="table" w:customStyle="1" w:styleId="4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CEAA5-7C5D-47E1-889C-7F83D8279A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18665</Words>
  <Characters>20411</Characters>
  <Lines>175</Lines>
  <Paragraphs>49</Paragraphs>
  <TotalTime>2</TotalTime>
  <ScaleCrop>false</ScaleCrop>
  <LinksUpToDate>false</LinksUpToDate>
  <CharactersWithSpaces>22705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27639</cp:lastModifiedBy>
  <cp:lastPrinted>2022-11-10T00:30:00Z</cp:lastPrinted>
  <dcterms:modified xsi:type="dcterms:W3CDTF">2022-11-30T05:59:16Z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FAE8503A9100459995C81CA51537C239</vt:lpwstr>
  </property>
</Properties>
</file>