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宋体"/>
          <w:b/>
          <w:color w:val="000000"/>
          <w:sz w:val="48"/>
          <w:szCs w:val="48"/>
          <w:highlight w:val="none"/>
          <w:lang w:eastAsia="zh-CN"/>
        </w:rPr>
      </w:pPr>
    </w:p>
    <w:p>
      <w:pPr>
        <w:spacing w:line="360" w:lineRule="auto"/>
        <w:jc w:val="center"/>
        <w:rPr>
          <w:rFonts w:ascii="宋体" w:hAnsi="宋体" w:cs="宋体"/>
          <w:b/>
          <w:color w:val="000000"/>
          <w:sz w:val="48"/>
          <w:szCs w:val="48"/>
          <w:highlight w:val="none"/>
        </w:rPr>
      </w:pPr>
      <w:r>
        <w:rPr>
          <w:rFonts w:hint="eastAsia" w:ascii="宋体" w:hAnsi="宋体" w:cs="宋体"/>
          <w:b/>
          <w:color w:val="000000"/>
          <w:sz w:val="48"/>
          <w:szCs w:val="48"/>
          <w:highlight w:val="none"/>
          <w:lang w:eastAsia="zh-CN"/>
        </w:rPr>
        <w:t>智慧文旅综合管理平台之安庆智慧博物馆系统建设信息化项目</w:t>
      </w:r>
      <w:r>
        <w:rPr>
          <w:rFonts w:hint="eastAsia" w:ascii="宋体" w:hAnsi="宋体" w:cs="宋体"/>
          <w:b/>
          <w:color w:val="000000"/>
          <w:sz w:val="48"/>
          <w:szCs w:val="48"/>
          <w:highlight w:val="none"/>
          <w:lang w:val="en-US" w:eastAsia="zh-CN"/>
        </w:rPr>
        <w:t>建设方案</w:t>
      </w:r>
      <w:r>
        <w:rPr>
          <w:rFonts w:hint="eastAsia" w:ascii="宋体" w:hAnsi="宋体" w:cs="宋体"/>
          <w:b/>
          <w:color w:val="000000"/>
          <w:sz w:val="48"/>
          <w:szCs w:val="48"/>
          <w:highlight w:val="none"/>
          <w:lang w:eastAsia="zh-CN"/>
        </w:rPr>
        <w:t>编制</w:t>
      </w:r>
      <w:r>
        <w:rPr>
          <w:rFonts w:hint="eastAsia" w:ascii="宋体" w:hAnsi="宋体" w:cs="宋体"/>
          <w:b/>
          <w:color w:val="000000"/>
          <w:sz w:val="48"/>
          <w:szCs w:val="48"/>
          <w:highlight w:val="none"/>
        </w:rPr>
        <w:t xml:space="preserve"> </w:t>
      </w:r>
    </w:p>
    <w:p>
      <w:pPr>
        <w:spacing w:line="360" w:lineRule="auto"/>
        <w:jc w:val="center"/>
        <w:rPr>
          <w:rFonts w:ascii="宋体" w:hAnsi="宋体" w:cs="宋体"/>
          <w:b/>
          <w:color w:val="000000"/>
          <w:sz w:val="48"/>
          <w:szCs w:val="48"/>
          <w:highlight w:val="none"/>
        </w:rPr>
      </w:pPr>
    </w:p>
    <w:p>
      <w:pPr>
        <w:pStyle w:val="24"/>
      </w:pPr>
    </w:p>
    <w:p>
      <w:pPr>
        <w:pStyle w:val="24"/>
      </w:pPr>
    </w:p>
    <w:p>
      <w:pPr>
        <w:spacing w:line="360" w:lineRule="auto"/>
        <w:jc w:val="center"/>
        <w:rPr>
          <w:rFonts w:ascii="宋体" w:hAnsi="宋体" w:cs="宋体"/>
          <w:b/>
          <w:color w:val="000000"/>
          <w:sz w:val="110"/>
          <w:szCs w:val="110"/>
          <w:highlight w:val="none"/>
        </w:rPr>
      </w:pPr>
      <w:r>
        <w:rPr>
          <w:rFonts w:hint="eastAsia" w:ascii="宋体" w:hAnsi="宋体" w:cs="宋体"/>
          <w:b/>
          <w:color w:val="000000"/>
          <w:sz w:val="110"/>
          <w:szCs w:val="110"/>
          <w:highlight w:val="none"/>
        </w:rPr>
        <w:t xml:space="preserve"> 竞争性谈判文件</w:t>
      </w:r>
    </w:p>
    <w:p>
      <w:pPr>
        <w:spacing w:line="360" w:lineRule="auto"/>
        <w:jc w:val="center"/>
        <w:rPr>
          <w:rFonts w:hint="eastAsia" w:ascii="宋体" w:hAnsi="宋体" w:cs="宋体"/>
          <w:b/>
          <w:color w:val="000000"/>
          <w:sz w:val="24"/>
          <w:highlight w:val="none"/>
        </w:rPr>
      </w:pPr>
    </w:p>
    <w:p>
      <w:pPr>
        <w:spacing w:line="360" w:lineRule="auto"/>
        <w:jc w:val="center"/>
        <w:rPr>
          <w:rFonts w:hint="default" w:ascii="宋体" w:hAnsi="宋体" w:eastAsia="宋体" w:cs="宋体"/>
          <w:b/>
          <w:color w:val="000000"/>
          <w:sz w:val="24"/>
          <w:szCs w:val="32"/>
          <w:highlight w:val="none"/>
          <w:lang w:val="en-US" w:eastAsia="zh-CN"/>
        </w:rPr>
      </w:pPr>
      <w:r>
        <w:rPr>
          <w:rFonts w:hint="eastAsia" w:ascii="宋体" w:hAnsi="宋体" w:cs="宋体"/>
          <w:b/>
          <w:color w:val="000000"/>
          <w:sz w:val="24"/>
          <w:highlight w:val="none"/>
        </w:rPr>
        <w:t>项目编号：</w:t>
      </w:r>
      <w:r>
        <w:rPr>
          <w:rFonts w:hint="eastAsia" w:ascii="宋体" w:hAnsi="宋体" w:cs="宋体"/>
          <w:b/>
          <w:color w:val="000000"/>
          <w:sz w:val="24"/>
          <w:highlight w:val="none"/>
          <w:lang w:val="en-US" w:eastAsia="zh-CN"/>
        </w:rPr>
        <w:t>CG-AQ-W2022-063</w:t>
      </w: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ind w:firstLine="596" w:firstLineChars="198"/>
        <w:rPr>
          <w:rFonts w:ascii="宋体" w:hAnsi="宋体" w:cs="宋体"/>
          <w:b/>
          <w:color w:val="auto"/>
          <w:szCs w:val="21"/>
          <w:highlight w:val="none"/>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安庆博物馆</w:t>
      </w:r>
      <w:r>
        <w:rPr>
          <w:rFonts w:hint="eastAsia" w:ascii="宋体" w:hAnsi="宋体" w:cs="宋体"/>
          <w:b/>
          <w:color w:val="auto"/>
          <w:spacing w:val="40"/>
          <w:sz w:val="30"/>
          <w:szCs w:val="30"/>
          <w:highlight w:val="none"/>
          <w:u w:val="single"/>
          <w:lang w:val="en-US" w:eastAsia="zh-CN"/>
        </w:rPr>
        <w:t xml:space="preserve"> </w:t>
      </w:r>
      <w:r>
        <w:rPr>
          <w:rFonts w:hint="eastAsia" w:ascii="宋体" w:hAnsi="宋体" w:cs="宋体"/>
          <w:b/>
          <w:color w:val="auto"/>
          <w:spacing w:val="20"/>
          <w:sz w:val="30"/>
          <w:szCs w:val="30"/>
          <w:highlight w:val="none"/>
          <w:u w:val="single"/>
          <w:lang w:val="en-US" w:eastAsia="zh-CN"/>
        </w:rPr>
        <w:t xml:space="preserve">       </w:t>
      </w:r>
      <w:r>
        <w:rPr>
          <w:rFonts w:hint="eastAsia" w:ascii="宋体" w:hAnsi="宋体" w:cs="宋体"/>
          <w:b/>
          <w:color w:val="auto"/>
          <w:spacing w:val="20"/>
          <w:sz w:val="30"/>
          <w:szCs w:val="30"/>
          <w:highlight w:val="none"/>
          <w:u w:val="single"/>
        </w:rPr>
        <w:t xml:space="preserve">   </w:t>
      </w:r>
      <w:r>
        <w:rPr>
          <w:rFonts w:hint="eastAsia" w:ascii="宋体" w:hAnsi="宋体" w:cs="宋体"/>
          <w:b/>
          <w:color w:val="auto"/>
          <w:sz w:val="30"/>
          <w:szCs w:val="30"/>
          <w:highlight w:val="none"/>
          <w:u w:val="single"/>
        </w:rPr>
        <w:t xml:space="preserve">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ascii="宋体" w:hAnsi="宋体" w:cs="宋体"/>
          <w:b/>
          <w:color w:val="auto"/>
          <w:sz w:val="18"/>
          <w:szCs w:val="18"/>
          <w:highlight w:val="none"/>
        </w:rPr>
      </w:pPr>
      <w:r>
        <w:rPr>
          <w:rFonts w:hint="eastAsia" w:ascii="宋体" w:hAnsi="宋体" w:cs="宋体"/>
          <w:b/>
          <w:color w:val="auto"/>
          <w:sz w:val="30"/>
          <w:szCs w:val="30"/>
          <w:highlight w:val="none"/>
        </w:rPr>
        <w:t>采购代理机构：</w:t>
      </w:r>
      <w:r>
        <w:rPr>
          <w:rFonts w:hint="eastAsia" w:ascii="宋体" w:hAnsi="宋体" w:cs="宋体"/>
          <w:b/>
          <w:color w:val="auto"/>
          <w:sz w:val="30"/>
          <w:szCs w:val="30"/>
          <w:highlight w:val="none"/>
          <w:u w:val="single"/>
        </w:rPr>
        <w:t xml:space="preserve">  </w:t>
      </w:r>
      <w:r>
        <w:rPr>
          <w:rFonts w:hint="eastAsia" w:ascii="宋体" w:hAnsi="宋体" w:cs="宋体"/>
          <w:b/>
          <w:color w:val="auto"/>
          <w:spacing w:val="40"/>
          <w:sz w:val="30"/>
          <w:szCs w:val="30"/>
          <w:highlight w:val="none"/>
          <w:u w:val="single"/>
        </w:rPr>
        <w:t>安庆市皖宜项目咨询管理有限公司</w:t>
      </w:r>
      <w:r>
        <w:rPr>
          <w:rFonts w:hint="eastAsia" w:ascii="宋体" w:hAnsi="宋体" w:cs="宋体"/>
          <w:b/>
          <w:color w:val="auto"/>
          <w:spacing w:val="20"/>
          <w:sz w:val="30"/>
          <w:szCs w:val="30"/>
          <w:highlight w:val="none"/>
          <w:u w:val="single"/>
        </w:rPr>
        <w:t xml:space="preserve">   </w:t>
      </w:r>
      <w:r>
        <w:rPr>
          <w:rFonts w:hint="eastAsia" w:ascii="宋体" w:hAnsi="宋体" w:cs="宋体"/>
          <w:b/>
          <w:color w:val="auto"/>
          <w:sz w:val="30"/>
          <w:szCs w:val="30"/>
          <w:highlight w:val="none"/>
          <w:u w:val="single"/>
        </w:rPr>
        <w:t xml:space="preserve">  </w:t>
      </w: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rPr>
          <w:rFonts w:ascii="宋体" w:hAnsi="宋体" w:cs="宋体"/>
          <w:b/>
          <w:color w:val="000000"/>
          <w:sz w:val="24"/>
          <w:highlight w:val="none"/>
          <w:u w:val="single"/>
        </w:rPr>
      </w:pPr>
    </w:p>
    <w:p>
      <w:pPr>
        <w:spacing w:line="360" w:lineRule="auto"/>
        <w:rPr>
          <w:rFonts w:ascii="宋体" w:hAnsi="宋体" w:cs="宋体"/>
          <w:b/>
          <w:color w:val="000000"/>
          <w:sz w:val="24"/>
          <w:highlight w:val="none"/>
          <w:u w:val="single"/>
        </w:rPr>
      </w:pPr>
    </w:p>
    <w:p>
      <w:pPr>
        <w:spacing w:line="360" w:lineRule="auto"/>
        <w:jc w:val="center"/>
        <w:rPr>
          <w:rFonts w:ascii="宋体" w:hAnsi="宋体" w:cs="宋体"/>
          <w:b/>
          <w:color w:val="000000"/>
          <w:sz w:val="30"/>
          <w:szCs w:val="30"/>
          <w:highlight w:val="none"/>
        </w:rPr>
      </w:pPr>
      <w:r>
        <w:rPr>
          <w:rFonts w:hint="eastAsia" w:ascii="宋体" w:hAnsi="宋体" w:cs="宋体"/>
          <w:b/>
          <w:color w:val="000000"/>
          <w:sz w:val="30"/>
          <w:szCs w:val="30"/>
          <w:highlight w:val="none"/>
        </w:rPr>
        <w:t>日  期：二〇</w:t>
      </w:r>
      <w:r>
        <w:rPr>
          <w:rFonts w:hint="eastAsia" w:ascii="宋体" w:hAnsi="宋体" w:cs="宋体"/>
          <w:b/>
          <w:color w:val="000000"/>
          <w:sz w:val="30"/>
          <w:szCs w:val="30"/>
          <w:highlight w:val="none"/>
          <w:lang w:val="en-US" w:eastAsia="zh-CN"/>
        </w:rPr>
        <w:t>二二</w:t>
      </w:r>
      <w:r>
        <w:rPr>
          <w:rFonts w:hint="eastAsia" w:ascii="宋体" w:hAnsi="宋体" w:cs="宋体"/>
          <w:b/>
          <w:color w:val="000000"/>
          <w:sz w:val="30"/>
          <w:szCs w:val="30"/>
          <w:highlight w:val="none"/>
        </w:rPr>
        <w:t>年</w:t>
      </w:r>
      <w:r>
        <w:rPr>
          <w:rFonts w:hint="eastAsia" w:ascii="宋体" w:hAnsi="宋体" w:cs="宋体"/>
          <w:b/>
          <w:color w:val="000000"/>
          <w:sz w:val="30"/>
          <w:szCs w:val="30"/>
          <w:highlight w:val="none"/>
          <w:lang w:val="en-US" w:eastAsia="zh-CN"/>
        </w:rPr>
        <w:t>六</w:t>
      </w:r>
      <w:r>
        <w:rPr>
          <w:rFonts w:hint="eastAsia" w:ascii="宋体" w:hAnsi="宋体" w:cs="宋体"/>
          <w:b/>
          <w:color w:val="000000"/>
          <w:sz w:val="30"/>
          <w:szCs w:val="30"/>
          <w:highlight w:val="none"/>
        </w:rPr>
        <w:t>月</w:t>
      </w:r>
    </w:p>
    <w:p>
      <w:pPr>
        <w:spacing w:line="360" w:lineRule="auto"/>
        <w:rPr>
          <w:rFonts w:ascii="宋体" w:hAnsi="宋体" w:cs="宋体"/>
          <w:b/>
          <w:color w:val="000000"/>
          <w:sz w:val="24"/>
          <w:highlight w:val="none"/>
          <w:u w:val="single"/>
        </w:rPr>
      </w:pPr>
    </w:p>
    <w:p>
      <w:pPr>
        <w:pStyle w:val="24"/>
        <w:ind w:left="0" w:leftChars="0" w:firstLine="0" w:firstLineChars="0"/>
      </w:pPr>
    </w:p>
    <w:p>
      <w:pPr>
        <w:rPr>
          <w:rFonts w:ascii="宋体" w:hAnsi="宋体" w:cs="宋体"/>
          <w:color w:val="000000"/>
          <w:highlight w:val="none"/>
        </w:rPr>
      </w:pPr>
    </w:p>
    <w:p>
      <w:pPr>
        <w:widowControl/>
        <w:spacing w:line="480" w:lineRule="auto"/>
        <w:jc w:val="center"/>
        <w:rPr>
          <w:rFonts w:ascii="黑体" w:hAnsi="黑体" w:eastAsia="黑体" w:cs="宋体"/>
          <w:b/>
          <w:kern w:val="0"/>
          <w:sz w:val="32"/>
          <w:szCs w:val="32"/>
          <w:highlight w:val="none"/>
        </w:rPr>
      </w:pPr>
      <w:r>
        <w:rPr>
          <w:rFonts w:hint="eastAsia" w:ascii="黑体" w:hAnsi="黑体" w:eastAsia="黑体" w:cs="宋体"/>
          <w:b/>
          <w:kern w:val="0"/>
          <w:sz w:val="32"/>
          <w:szCs w:val="32"/>
          <w:highlight w:val="none"/>
        </w:rPr>
        <w:t>重  要  提  醒</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 xml:space="preserve">8.利诱、欺骗采购人违反相关规定按其意图设置招标文件条款的违法违规行为。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 xml:space="preserve">10.领导干部违反规定插手干预项目招投标活动。 </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11.干部职工在招投标活动中与黑恶势力勾结，充当保护伞。</w:t>
      </w:r>
    </w:p>
    <w:p>
      <w:pPr>
        <w:widowControl/>
        <w:spacing w:line="480" w:lineRule="auto"/>
        <w:ind w:firstLine="482" w:firstLineChars="200"/>
        <w:jc w:val="left"/>
        <w:rPr>
          <w:rFonts w:ascii="宋体" w:hAnsi="宋体" w:cs="宋体"/>
          <w:b/>
          <w:kern w:val="0"/>
          <w:sz w:val="24"/>
          <w:highlight w:val="none"/>
        </w:rPr>
      </w:pPr>
    </w:p>
    <w:p>
      <w:pPr>
        <w:widowControl/>
        <w:spacing w:line="480" w:lineRule="auto"/>
        <w:ind w:firstLine="482" w:firstLineChars="200"/>
        <w:jc w:val="left"/>
        <w:rPr>
          <w:rFonts w:ascii="宋体" w:hAnsi="宋体" w:cs="宋体"/>
          <w:b/>
          <w:kern w:val="0"/>
          <w:sz w:val="24"/>
          <w:highlight w:val="none"/>
        </w:rPr>
      </w:pPr>
    </w:p>
    <w:p>
      <w:pPr>
        <w:widowControl/>
        <w:spacing w:line="480" w:lineRule="auto"/>
        <w:ind w:firstLine="482" w:firstLineChars="200"/>
        <w:jc w:val="left"/>
        <w:rPr>
          <w:rFonts w:ascii="宋体" w:hAnsi="宋体" w:cs="宋体"/>
          <w:b/>
          <w:kern w:val="0"/>
          <w:sz w:val="24"/>
          <w:highlight w:val="none"/>
        </w:rPr>
      </w:pP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二、请各谈判响应人认真阅读谈判文件，对下述事项予以重视：</w:t>
      </w:r>
    </w:p>
    <w:p>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1、请依据项目资格要求，自行核对营业执照或事业单位法人证书合法有效。</w:t>
      </w:r>
    </w:p>
    <w:p>
      <w:pPr>
        <w:widowControl/>
        <w:spacing w:line="48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2、对投标活动中可能发生的质疑、投诉行为，须依法在规定的时间内提出。 </w:t>
      </w:r>
    </w:p>
    <w:p>
      <w:pPr>
        <w:widowControl/>
        <w:spacing w:line="48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3、 本项目开评标期间，谈判响应人必须保证联系电话、电子邮箱通畅，因谈判响应人通讯不畅造成的不利后果由谈判响应人自行承担。</w:t>
      </w:r>
    </w:p>
    <w:p>
      <w:pPr>
        <w:widowControl/>
        <w:spacing w:line="480" w:lineRule="auto"/>
        <w:ind w:firstLine="482" w:firstLineChars="200"/>
        <w:jc w:val="left"/>
        <w:rPr>
          <w:rFonts w:ascii="宋体" w:hAnsi="宋体" w:cs="宋体"/>
          <w:b/>
          <w:kern w:val="0"/>
          <w:sz w:val="24"/>
          <w:highlight w:val="none"/>
        </w:rPr>
      </w:pPr>
    </w:p>
    <w:p>
      <w:pPr>
        <w:widowControl/>
        <w:jc w:val="left"/>
        <w:rPr>
          <w:rFonts w:ascii="宋体" w:hAnsi="宋体" w:cs="宋体"/>
          <w:b/>
          <w:kern w:val="0"/>
          <w:sz w:val="24"/>
          <w:highlight w:val="none"/>
        </w:rPr>
      </w:pPr>
      <w:r>
        <w:rPr>
          <w:rFonts w:ascii="宋体" w:hAnsi="宋体" w:cs="宋体"/>
          <w:b/>
          <w:kern w:val="0"/>
          <w:sz w:val="24"/>
          <w:highlight w:val="none"/>
        </w:rPr>
        <w:br w:type="page"/>
      </w:r>
    </w:p>
    <w:p>
      <w:pPr>
        <w:jc w:val="center"/>
        <w:rPr>
          <w:rFonts w:ascii="宋体" w:hAnsi="宋体" w:cs="宋体"/>
          <w:b/>
          <w:color w:val="000000"/>
          <w:sz w:val="36"/>
          <w:szCs w:val="36"/>
          <w:highlight w:val="none"/>
        </w:rPr>
      </w:pPr>
      <w:r>
        <w:rPr>
          <w:rFonts w:hint="eastAsia" w:ascii="宋体" w:hAnsi="宋体" w:cs="宋体"/>
          <w:b/>
          <w:color w:val="000000"/>
          <w:sz w:val="36"/>
          <w:szCs w:val="36"/>
          <w:highlight w:val="none"/>
        </w:rPr>
        <w:t>目   录</w:t>
      </w:r>
    </w:p>
    <w:p>
      <w:pPr>
        <w:pStyle w:val="19"/>
        <w:tabs>
          <w:tab w:val="right" w:leader="dot" w:pos="9070"/>
          <w:tab w:val="clear" w:pos="1260"/>
          <w:tab w:val="clear" w:pos="9060"/>
        </w:tabs>
        <w:rPr>
          <w:highlight w:val="none"/>
        </w:rPr>
      </w:pPr>
      <w:r>
        <w:rPr>
          <w:rFonts w:ascii="宋体" w:hAnsi="宋体" w:cs="宋体"/>
          <w:color w:val="000000"/>
          <w:highlight w:val="none"/>
        </w:rPr>
        <w:fldChar w:fldCharType="begin"/>
      </w:r>
      <w:r>
        <w:rPr>
          <w:rFonts w:ascii="宋体" w:hAnsi="宋体" w:cs="宋体"/>
          <w:color w:val="000000"/>
          <w:highlight w:val="none"/>
        </w:rPr>
        <w:instrText xml:space="preserve">TOC \o "1-1" \h \u </w:instrText>
      </w:r>
      <w:r>
        <w:rPr>
          <w:rFonts w:ascii="宋体" w:hAnsi="宋体" w:cs="宋体"/>
          <w:color w:val="000000"/>
          <w:highlight w:val="none"/>
        </w:rPr>
        <w:fldChar w:fldCharType="separate"/>
      </w:r>
      <w:r>
        <w:rPr>
          <w:highlight w:val="none"/>
        </w:rPr>
        <w:fldChar w:fldCharType="begin"/>
      </w:r>
      <w:r>
        <w:rPr>
          <w:highlight w:val="none"/>
        </w:rPr>
        <w:instrText xml:space="preserve"> HYPERLINK \l "_Toc27449" </w:instrText>
      </w:r>
      <w:r>
        <w:rPr>
          <w:highlight w:val="none"/>
        </w:rPr>
        <w:fldChar w:fldCharType="separate"/>
      </w:r>
      <w:r>
        <w:rPr>
          <w:rFonts w:hint="eastAsia" w:ascii="宋体" w:hAnsi="宋体" w:cs="宋体"/>
          <w:bCs/>
          <w:szCs w:val="32"/>
          <w:highlight w:val="none"/>
        </w:rPr>
        <w:t>第一章   竞争性谈判公告</w:t>
      </w:r>
      <w:r>
        <w:rPr>
          <w:highlight w:val="none"/>
        </w:rPr>
        <w:tab/>
      </w:r>
      <w:r>
        <w:rPr>
          <w:highlight w:val="none"/>
        </w:rPr>
        <w:fldChar w:fldCharType="begin"/>
      </w:r>
      <w:r>
        <w:rPr>
          <w:highlight w:val="none"/>
        </w:rPr>
        <w:instrText xml:space="preserve"> PAGEREF _Toc27449 \h </w:instrText>
      </w:r>
      <w:r>
        <w:rPr>
          <w:highlight w:val="none"/>
        </w:rPr>
        <w:fldChar w:fldCharType="separate"/>
      </w:r>
      <w:r>
        <w:rPr>
          <w:highlight w:val="none"/>
        </w:rPr>
        <w:t>1</w:t>
      </w:r>
      <w:r>
        <w:rPr>
          <w:highlight w:val="none"/>
        </w:rPr>
        <w:fldChar w:fldCharType="end"/>
      </w:r>
      <w:r>
        <w:rPr>
          <w:highlight w:val="none"/>
        </w:rPr>
        <w:fldChar w:fldCharType="end"/>
      </w:r>
    </w:p>
    <w:p>
      <w:pPr>
        <w:pStyle w:val="19"/>
        <w:tabs>
          <w:tab w:val="right" w:leader="dot" w:pos="9070"/>
          <w:tab w:val="clear" w:pos="1260"/>
          <w:tab w:val="clear" w:pos="9060"/>
        </w:tabs>
        <w:rPr>
          <w:highlight w:val="none"/>
        </w:rPr>
      </w:pPr>
      <w:r>
        <w:rPr>
          <w:highlight w:val="none"/>
        </w:rPr>
        <w:fldChar w:fldCharType="begin"/>
      </w:r>
      <w:r>
        <w:rPr>
          <w:highlight w:val="none"/>
        </w:rPr>
        <w:instrText xml:space="preserve"> HYPERLINK \l "_Toc15386" </w:instrText>
      </w:r>
      <w:r>
        <w:rPr>
          <w:highlight w:val="none"/>
        </w:rPr>
        <w:fldChar w:fldCharType="separate"/>
      </w:r>
      <w:r>
        <w:rPr>
          <w:rFonts w:hint="eastAsia" w:ascii="宋体" w:hAnsi="宋体" w:cs="宋体"/>
          <w:highlight w:val="none"/>
        </w:rPr>
        <w:t>第二章   谈判响应人须知</w:t>
      </w:r>
      <w:r>
        <w:rPr>
          <w:highlight w:val="none"/>
        </w:rPr>
        <w:tab/>
      </w:r>
      <w:r>
        <w:rPr>
          <w:highlight w:val="none"/>
        </w:rPr>
        <w:fldChar w:fldCharType="begin"/>
      </w:r>
      <w:r>
        <w:rPr>
          <w:highlight w:val="none"/>
        </w:rPr>
        <w:instrText xml:space="preserve"> PAGEREF _Toc15386 \h </w:instrText>
      </w:r>
      <w:r>
        <w:rPr>
          <w:highlight w:val="none"/>
        </w:rPr>
        <w:fldChar w:fldCharType="separate"/>
      </w:r>
      <w:r>
        <w:rPr>
          <w:highlight w:val="none"/>
        </w:rPr>
        <w:t>4</w:t>
      </w:r>
      <w:r>
        <w:rPr>
          <w:highlight w:val="none"/>
        </w:rPr>
        <w:fldChar w:fldCharType="end"/>
      </w:r>
      <w:r>
        <w:rPr>
          <w:highlight w:val="none"/>
        </w:rPr>
        <w:fldChar w:fldCharType="end"/>
      </w:r>
    </w:p>
    <w:p>
      <w:pPr>
        <w:pStyle w:val="19"/>
        <w:tabs>
          <w:tab w:val="right" w:leader="dot" w:pos="9070"/>
          <w:tab w:val="clear" w:pos="1260"/>
          <w:tab w:val="clear" w:pos="9060"/>
        </w:tabs>
        <w:rPr>
          <w:highlight w:val="none"/>
        </w:rPr>
      </w:pPr>
      <w:r>
        <w:rPr>
          <w:highlight w:val="none"/>
        </w:rPr>
        <w:fldChar w:fldCharType="begin"/>
      </w:r>
      <w:r>
        <w:rPr>
          <w:highlight w:val="none"/>
        </w:rPr>
        <w:instrText xml:space="preserve"> HYPERLINK \l "_Toc941" </w:instrText>
      </w:r>
      <w:r>
        <w:rPr>
          <w:highlight w:val="none"/>
        </w:rPr>
        <w:fldChar w:fldCharType="separate"/>
      </w:r>
      <w:r>
        <w:rPr>
          <w:rFonts w:hint="eastAsia" w:ascii="宋体" w:hAnsi="宋体" w:cs="宋体"/>
          <w:highlight w:val="none"/>
        </w:rPr>
        <w:t>第三章   服务需求及技术要求</w:t>
      </w:r>
      <w:r>
        <w:rPr>
          <w:highlight w:val="none"/>
        </w:rPr>
        <w:tab/>
      </w:r>
      <w:r>
        <w:rPr>
          <w:highlight w:val="none"/>
        </w:rPr>
        <w:fldChar w:fldCharType="begin"/>
      </w:r>
      <w:r>
        <w:rPr>
          <w:highlight w:val="none"/>
        </w:rPr>
        <w:instrText xml:space="preserve"> PAGEREF _Toc941 \h </w:instrText>
      </w:r>
      <w:r>
        <w:rPr>
          <w:highlight w:val="none"/>
        </w:rPr>
        <w:fldChar w:fldCharType="separate"/>
      </w:r>
      <w:r>
        <w:rPr>
          <w:highlight w:val="none"/>
        </w:rPr>
        <w:t>21</w:t>
      </w:r>
      <w:r>
        <w:rPr>
          <w:highlight w:val="none"/>
        </w:rPr>
        <w:fldChar w:fldCharType="end"/>
      </w:r>
      <w:r>
        <w:rPr>
          <w:highlight w:val="none"/>
        </w:rPr>
        <w:fldChar w:fldCharType="end"/>
      </w:r>
    </w:p>
    <w:p>
      <w:pPr>
        <w:pStyle w:val="19"/>
        <w:tabs>
          <w:tab w:val="right" w:leader="dot" w:pos="9070"/>
          <w:tab w:val="clear" w:pos="1260"/>
          <w:tab w:val="clear" w:pos="9060"/>
        </w:tabs>
        <w:rPr>
          <w:highlight w:val="none"/>
        </w:rPr>
      </w:pPr>
      <w:r>
        <w:rPr>
          <w:highlight w:val="none"/>
        </w:rPr>
        <w:fldChar w:fldCharType="begin"/>
      </w:r>
      <w:r>
        <w:rPr>
          <w:highlight w:val="none"/>
        </w:rPr>
        <w:instrText xml:space="preserve"> HYPERLINK \l "_Toc8064" </w:instrText>
      </w:r>
      <w:r>
        <w:rPr>
          <w:highlight w:val="none"/>
        </w:rPr>
        <w:fldChar w:fldCharType="separate"/>
      </w:r>
      <w:r>
        <w:rPr>
          <w:rFonts w:hint="eastAsia" w:ascii="宋体" w:hAnsi="宋体" w:cs="宋体"/>
          <w:highlight w:val="none"/>
        </w:rPr>
        <w:t>第四章   合同主要条款</w:t>
      </w:r>
      <w:r>
        <w:rPr>
          <w:highlight w:val="none"/>
        </w:rPr>
        <w:tab/>
      </w:r>
      <w:r>
        <w:rPr>
          <w:highlight w:val="none"/>
        </w:rPr>
        <w:fldChar w:fldCharType="begin"/>
      </w:r>
      <w:r>
        <w:rPr>
          <w:highlight w:val="none"/>
        </w:rPr>
        <w:instrText xml:space="preserve"> PAGEREF _Toc8064 \h </w:instrText>
      </w:r>
      <w:r>
        <w:rPr>
          <w:highlight w:val="none"/>
        </w:rPr>
        <w:fldChar w:fldCharType="separate"/>
      </w:r>
      <w:r>
        <w:rPr>
          <w:highlight w:val="none"/>
        </w:rPr>
        <w:t>22</w:t>
      </w:r>
      <w:r>
        <w:rPr>
          <w:highlight w:val="none"/>
        </w:rPr>
        <w:fldChar w:fldCharType="end"/>
      </w:r>
      <w:r>
        <w:rPr>
          <w:highlight w:val="none"/>
        </w:rPr>
        <w:fldChar w:fldCharType="end"/>
      </w:r>
    </w:p>
    <w:p>
      <w:pPr>
        <w:pStyle w:val="19"/>
        <w:tabs>
          <w:tab w:val="right" w:leader="dot" w:pos="9070"/>
          <w:tab w:val="clear" w:pos="1260"/>
          <w:tab w:val="clear" w:pos="9060"/>
        </w:tabs>
        <w:rPr>
          <w:highlight w:val="none"/>
        </w:rPr>
      </w:pPr>
      <w:r>
        <w:rPr>
          <w:highlight w:val="none"/>
        </w:rPr>
        <w:fldChar w:fldCharType="begin"/>
      </w:r>
      <w:r>
        <w:rPr>
          <w:highlight w:val="none"/>
        </w:rPr>
        <w:instrText xml:space="preserve"> HYPERLINK \l "_Toc20690" </w:instrText>
      </w:r>
      <w:r>
        <w:rPr>
          <w:highlight w:val="none"/>
        </w:rPr>
        <w:fldChar w:fldCharType="separate"/>
      </w:r>
      <w:r>
        <w:rPr>
          <w:rFonts w:hint="eastAsia" w:ascii="宋体" w:hAnsi="宋体" w:cs="宋体"/>
          <w:highlight w:val="none"/>
        </w:rPr>
        <w:t>第五章   谈判响应文件格式</w:t>
      </w:r>
      <w:r>
        <w:rPr>
          <w:highlight w:val="none"/>
        </w:rPr>
        <w:tab/>
      </w:r>
      <w:r>
        <w:rPr>
          <w:highlight w:val="none"/>
        </w:rPr>
        <w:fldChar w:fldCharType="begin"/>
      </w:r>
      <w:r>
        <w:rPr>
          <w:highlight w:val="none"/>
        </w:rPr>
        <w:instrText xml:space="preserve"> PAGEREF _Toc20690 \h </w:instrText>
      </w:r>
      <w:r>
        <w:rPr>
          <w:highlight w:val="none"/>
        </w:rPr>
        <w:fldChar w:fldCharType="separate"/>
      </w:r>
      <w:r>
        <w:rPr>
          <w:highlight w:val="none"/>
        </w:rPr>
        <w:t>24</w:t>
      </w:r>
      <w:r>
        <w:rPr>
          <w:highlight w:val="none"/>
        </w:rPr>
        <w:fldChar w:fldCharType="end"/>
      </w:r>
      <w:r>
        <w:rPr>
          <w:highlight w:val="none"/>
        </w:rPr>
        <w:fldChar w:fldCharType="end"/>
      </w:r>
    </w:p>
    <w:p>
      <w:pPr>
        <w:pStyle w:val="12"/>
        <w:tabs>
          <w:tab w:val="right" w:leader="dot" w:pos="9060"/>
        </w:tabs>
        <w:spacing w:line="240" w:lineRule="auto"/>
        <w:ind w:left="0" w:leftChars="0"/>
        <w:jc w:val="center"/>
        <w:outlineLvl w:val="0"/>
        <w:rPr>
          <w:rFonts w:ascii="宋体" w:hAnsi="宋体" w:cs="宋体"/>
          <w:color w:val="000000"/>
          <w:highlight w:val="none"/>
        </w:rPr>
      </w:pPr>
      <w:r>
        <w:rPr>
          <w:rFonts w:ascii="宋体" w:hAnsi="宋体" w:cs="宋体"/>
          <w:color w:val="000000"/>
          <w:highlight w:val="none"/>
        </w:rPr>
        <w:fldChar w:fldCharType="end"/>
      </w:r>
    </w:p>
    <w:p>
      <w:pPr>
        <w:pStyle w:val="12"/>
        <w:tabs>
          <w:tab w:val="right" w:leader="dot" w:pos="9060"/>
        </w:tabs>
        <w:spacing w:line="240" w:lineRule="auto"/>
        <w:ind w:left="0" w:leftChars="0"/>
        <w:jc w:val="center"/>
        <w:outlineLvl w:val="0"/>
        <w:rPr>
          <w:rFonts w:ascii="宋体" w:hAnsi="宋体" w:cs="宋体"/>
          <w:color w:val="000000"/>
          <w:highlight w:val="none"/>
        </w:rPr>
        <w:sectPr>
          <w:headerReference r:id="rId3" w:type="default"/>
          <w:pgSz w:w="11906" w:h="16838"/>
          <w:pgMar w:top="1417" w:right="1418" w:bottom="1417" w:left="1418" w:header="680" w:footer="680" w:gutter="0"/>
          <w:pgNumType w:start="1"/>
          <w:cols w:space="720" w:num="1"/>
          <w:docGrid w:type="lines" w:linePitch="312" w:charSpace="0"/>
        </w:sectPr>
      </w:pPr>
    </w:p>
    <w:p>
      <w:pPr>
        <w:rPr>
          <w:color w:val="000000"/>
          <w:highlight w:val="none"/>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leftChars="0" w:right="0"/>
        <w:jc w:val="center"/>
        <w:outlineLvl w:val="0"/>
        <w:rPr>
          <w:rStyle w:val="44"/>
          <w:rFonts w:hint="eastAsia" w:ascii="宋体" w:hAnsi="宋体" w:cs="宋体"/>
          <w:b/>
          <w:bCs/>
          <w:color w:val="000000"/>
          <w:sz w:val="28"/>
          <w:szCs w:val="28"/>
          <w:highlight w:val="none"/>
        </w:rPr>
      </w:pPr>
      <w:bookmarkStart w:id="0" w:name="_Toc55202307"/>
      <w:bookmarkStart w:id="1" w:name="_Toc27449"/>
      <w:bookmarkStart w:id="2" w:name="_Toc12154"/>
      <w:r>
        <w:rPr>
          <w:rStyle w:val="44"/>
          <w:rFonts w:hint="eastAsia" w:ascii="宋体" w:hAnsi="宋体" w:cs="宋体"/>
          <w:b/>
          <w:bCs/>
          <w:color w:val="000000"/>
          <w:sz w:val="28"/>
          <w:szCs w:val="28"/>
          <w:highlight w:val="none"/>
        </w:rPr>
        <w:t>第一章 智慧文旅综合管理平台之安庆智慧博物馆系统建设信息化项目</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leftChars="0" w:right="0"/>
        <w:jc w:val="center"/>
        <w:outlineLvl w:val="0"/>
      </w:pPr>
      <w:r>
        <w:rPr>
          <w:rStyle w:val="44"/>
          <w:rFonts w:hint="eastAsia" w:ascii="宋体" w:hAnsi="宋体" w:cs="宋体"/>
          <w:b/>
          <w:bCs/>
          <w:color w:val="000000"/>
          <w:sz w:val="28"/>
          <w:szCs w:val="28"/>
          <w:highlight w:val="none"/>
        </w:rPr>
        <w:t>建设方案编制</w:t>
      </w:r>
      <w:r>
        <w:rPr>
          <w:rFonts w:hint="eastAsia" w:ascii="宋体" w:hAnsi="宋体" w:eastAsia="宋体" w:cs="宋体"/>
          <w:b/>
          <w:bCs/>
          <w:color w:val="333333"/>
          <w:kern w:val="0"/>
          <w:sz w:val="32"/>
          <w:szCs w:val="32"/>
          <w:shd w:val="clear" w:fill="FFFFFF"/>
        </w:rPr>
        <w:t>竞争性谈判公告</w:t>
      </w:r>
    </w:p>
    <w:tbl>
      <w:tblPr>
        <w:tblStyle w:val="25"/>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 w:hAnsi="仿宋" w:eastAsia="仿宋" w:cs="仿宋"/>
                <w:color w:val="333333"/>
                <w:kern w:val="2"/>
                <w:sz w:val="28"/>
                <w:szCs w:val="28"/>
                <w:lang w:val="en-US" w:eastAsia="zh-CN" w:bidi="ar"/>
              </w:rPr>
              <w:t>项目概况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color w:val="333333"/>
                <w:kern w:val="2"/>
                <w:sz w:val="28"/>
                <w:szCs w:val="28"/>
                <w:u w:val="single"/>
                <w:lang w:val="en-US" w:eastAsia="zh-CN" w:bidi="ar"/>
              </w:rPr>
              <w:t>智慧文旅综合管理平台之安庆智慧博物馆系统建设信息化项目建设方案编制</w:t>
            </w:r>
            <w:r>
              <w:rPr>
                <w:rFonts w:hint="eastAsia" w:ascii="仿宋" w:hAnsi="仿宋" w:eastAsia="仿宋" w:cs="仿宋"/>
                <w:color w:val="333333"/>
                <w:kern w:val="2"/>
                <w:sz w:val="28"/>
                <w:szCs w:val="28"/>
                <w:lang w:val="en-US" w:eastAsia="zh-CN" w:bidi="ar"/>
              </w:rPr>
              <w:t>的潜在供应商应在安庆市皖宜项目咨询管理有限公（http://wyxmzx.com/index.html）获取谈判文件，并于2022年6月28日9点00分（北京时间）前提交响应文件。 本项目现邀请已由采购人按法定程序邀请的供应商参与本次采购活动。</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exact"/>
        <w:ind w:left="0" w:right="0" w:firstLine="643"/>
        <w:jc w:val="left"/>
      </w:pPr>
      <w:r>
        <w:rPr>
          <w:rFonts w:ascii="黑体" w:hAnsi="宋体" w:eastAsia="黑体" w:cs="黑体"/>
          <w:b/>
          <w:bCs/>
          <w:color w:val="333333"/>
          <w:kern w:val="0"/>
          <w:sz w:val="32"/>
          <w:szCs w:val="32"/>
          <w:shd w:val="clear" w:fill="FFFFFF"/>
          <w:lang w:val="en-US" w:eastAsia="zh-CN" w:bidi="ar"/>
        </w:rPr>
        <w:t>一、采购内容：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exact"/>
        <w:ind w:left="0" w:right="0" w:firstLine="640"/>
        <w:jc w:val="left"/>
      </w:pPr>
      <w:r>
        <w:rPr>
          <w:rFonts w:hint="default" w:ascii="仿宋_GB2312" w:hAnsi="宋体" w:eastAsia="仿宋_GB2312" w:cs="仿宋_GB2312"/>
          <w:color w:val="333333"/>
          <w:kern w:val="0"/>
          <w:sz w:val="32"/>
          <w:szCs w:val="32"/>
          <w:shd w:val="clear" w:fill="FFFFFF"/>
          <w:lang w:val="en-US" w:eastAsia="zh-CN" w:bidi="ar"/>
        </w:rPr>
        <w:t>智慧文旅综合管理平台之安庆智慧博物馆系统建设信息化项目建设方案编制，预算资金为</w:t>
      </w:r>
      <w:r>
        <w:rPr>
          <w:rFonts w:hint="eastAsia" w:ascii="仿宋_GB2312" w:hAnsi="宋体" w:eastAsia="仿宋_GB2312" w:cs="仿宋_GB2312"/>
          <w:color w:val="333333"/>
          <w:kern w:val="0"/>
          <w:sz w:val="32"/>
          <w:szCs w:val="32"/>
          <w:shd w:val="clear" w:fill="FFFFFF"/>
          <w:lang w:val="en-US" w:eastAsia="zh-CN" w:bidi="ar"/>
        </w:rPr>
        <w:t>2</w:t>
      </w:r>
      <w:r>
        <w:rPr>
          <w:rFonts w:hint="default" w:ascii="仿宋_GB2312" w:hAnsi="宋体" w:eastAsia="仿宋_GB2312" w:cs="仿宋_GB2312"/>
          <w:color w:val="333333"/>
          <w:kern w:val="0"/>
          <w:sz w:val="32"/>
          <w:szCs w:val="32"/>
          <w:shd w:val="clear" w:fill="FFFFFF"/>
          <w:lang w:val="en-US" w:eastAsia="zh-CN" w:bidi="ar"/>
        </w:rPr>
        <w:t>万元。</w:t>
      </w:r>
      <w:r>
        <w:rPr>
          <w:rFonts w:hint="default" w:ascii="仿宋_GB2312" w:hAnsi="宋体" w:eastAsia="仿宋_GB2312" w:cs="宋体"/>
          <w:color w:val="333333"/>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exact"/>
        <w:ind w:left="0" w:right="0" w:firstLine="643"/>
        <w:jc w:val="left"/>
      </w:pPr>
      <w:r>
        <w:rPr>
          <w:rFonts w:hint="eastAsia" w:ascii="黑体" w:hAnsi="宋体" w:eastAsia="黑体" w:cs="黑体"/>
          <w:b/>
          <w:bCs/>
          <w:color w:val="333333"/>
          <w:kern w:val="0"/>
          <w:sz w:val="32"/>
          <w:szCs w:val="32"/>
          <w:shd w:val="clear" w:fill="FFFFFF"/>
          <w:lang w:val="en-US" w:eastAsia="zh-CN" w:bidi="ar"/>
        </w:rPr>
        <w:t>二、供应商资格：</w:t>
      </w:r>
    </w:p>
    <w:p>
      <w:pPr>
        <w:widowControl/>
        <w:shd w:val="clear" w:color="auto" w:fill="FFFFFF"/>
        <w:spacing w:line="560" w:lineRule="exact"/>
        <w:ind w:firstLine="64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1.符合《中华人民共和国政府采购法》第二十二条规定；</w:t>
      </w:r>
    </w:p>
    <w:p>
      <w:pPr>
        <w:widowControl/>
        <w:shd w:val="clear" w:color="auto" w:fill="FFFFFF"/>
        <w:spacing w:line="560" w:lineRule="exact"/>
        <w:ind w:firstLine="64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2.本项目的特定资格要求：/</w:t>
      </w:r>
    </w:p>
    <w:p>
      <w:pPr>
        <w:widowControl/>
        <w:shd w:val="clear" w:color="auto" w:fill="FFFFFF"/>
        <w:spacing w:line="560" w:lineRule="exact"/>
        <w:ind w:firstLine="64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3.具有合法有效的营业执照或事业单位法人证书；</w:t>
      </w:r>
    </w:p>
    <w:p>
      <w:pPr>
        <w:widowControl/>
        <w:shd w:val="clear" w:color="auto" w:fill="FFFFFF"/>
        <w:spacing w:line="560" w:lineRule="exact"/>
        <w:ind w:firstLine="640"/>
        <w:rPr>
          <w:rFonts w:hint="default" w:ascii="仿宋_GB2312" w:hAnsi="宋体" w:eastAsia="仿宋_GB2312" w:cs="仿宋_GB2312"/>
          <w:color w:val="333333"/>
          <w:kern w:val="0"/>
          <w:sz w:val="32"/>
          <w:szCs w:val="32"/>
          <w:shd w:val="clear" w:fill="FFFFFF"/>
          <w:lang w:val="en-US" w:eastAsia="zh-CN" w:bidi="ar"/>
        </w:rPr>
      </w:pPr>
      <w:r>
        <w:rPr>
          <w:rFonts w:hint="eastAsia" w:ascii="仿宋_GB2312" w:hAnsi="宋体" w:eastAsia="仿宋_GB2312" w:cs="宋体"/>
          <w:color w:val="000000"/>
          <w:kern w:val="0"/>
          <w:sz w:val="32"/>
          <w:szCs w:val="32"/>
          <w:highlight w:val="none"/>
        </w:rPr>
        <w:t>4.本项目</w:t>
      </w:r>
      <w:r>
        <w:rPr>
          <w:rFonts w:ascii="仿宋_GB2312" w:hAnsi="宋体" w:eastAsia="仿宋_GB2312" w:cs="宋体"/>
          <w:color w:val="000000"/>
          <w:kern w:val="0"/>
          <w:sz w:val="32"/>
          <w:szCs w:val="32"/>
          <w:highlight w:val="none"/>
        </w:rPr>
        <w:t>不接受</w:t>
      </w:r>
      <w:r>
        <w:rPr>
          <w:rFonts w:hint="eastAsia" w:ascii="仿宋_GB2312" w:hAnsi="宋体" w:eastAsia="仿宋_GB2312" w:cs="宋体"/>
          <w:color w:val="000000"/>
          <w:kern w:val="0"/>
          <w:sz w:val="32"/>
          <w:szCs w:val="32"/>
          <w:highlight w:val="none"/>
        </w:rPr>
        <w:t xml:space="preserve">联合体。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643" w:firstLineChars="200"/>
        <w:jc w:val="left"/>
      </w:pPr>
      <w:r>
        <w:rPr>
          <w:rFonts w:hint="eastAsia" w:ascii="黑体" w:hAnsi="宋体" w:eastAsia="黑体" w:cs="黑体"/>
          <w:b/>
          <w:bCs/>
          <w:color w:val="333333"/>
          <w:kern w:val="0"/>
          <w:sz w:val="32"/>
          <w:szCs w:val="32"/>
          <w:shd w:val="clear" w:fill="FFFFFF"/>
          <w:lang w:val="en-US" w:eastAsia="zh-CN" w:bidi="ar"/>
        </w:rPr>
        <w:t>三、谈判文件获取：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640" w:firstLineChars="200"/>
        <w:jc w:val="left"/>
      </w:pPr>
      <w:r>
        <w:rPr>
          <w:rFonts w:hint="default" w:ascii="仿宋_GB2312" w:hAnsi="宋体" w:eastAsia="仿宋_GB2312" w:cs="仿宋_GB2312"/>
          <w:color w:val="333333"/>
          <w:kern w:val="0"/>
          <w:sz w:val="32"/>
          <w:szCs w:val="32"/>
          <w:shd w:val="clear" w:fill="FFFFFF"/>
          <w:lang w:val="en-US" w:eastAsia="zh-CN" w:bidi="ar"/>
        </w:rPr>
        <w:t>本项目竞争性谈判文件于2022年6月</w:t>
      </w:r>
      <w:r>
        <w:rPr>
          <w:rFonts w:hint="eastAsia" w:ascii="仿宋_GB2312" w:hAnsi="宋体" w:eastAsia="仿宋_GB2312" w:cs="仿宋_GB2312"/>
          <w:color w:val="333333"/>
          <w:kern w:val="0"/>
          <w:sz w:val="32"/>
          <w:szCs w:val="32"/>
          <w:shd w:val="clear" w:fill="FFFFFF"/>
          <w:lang w:val="en-US" w:eastAsia="zh-CN" w:bidi="ar"/>
        </w:rPr>
        <w:t>22</w:t>
      </w:r>
      <w:r>
        <w:rPr>
          <w:rFonts w:hint="default" w:ascii="仿宋_GB2312" w:hAnsi="宋体" w:eastAsia="仿宋_GB2312" w:cs="仿宋_GB2312"/>
          <w:color w:val="333333"/>
          <w:kern w:val="0"/>
          <w:sz w:val="32"/>
          <w:szCs w:val="32"/>
          <w:shd w:val="clear" w:fill="FFFFFF"/>
          <w:lang w:val="en-US" w:eastAsia="zh-CN" w:bidi="ar"/>
        </w:rPr>
        <w:t>日17时30分前发送至被邀请的供应商邮箱，请确定参加谈判的供应商于2022年 6月</w:t>
      </w:r>
      <w:r>
        <w:rPr>
          <w:rFonts w:hint="eastAsia" w:ascii="仿宋_GB2312" w:hAnsi="宋体" w:eastAsia="仿宋_GB2312" w:cs="仿宋_GB2312"/>
          <w:color w:val="333333"/>
          <w:kern w:val="0"/>
          <w:sz w:val="32"/>
          <w:szCs w:val="32"/>
          <w:shd w:val="clear" w:fill="FFFFFF"/>
          <w:lang w:val="en-US" w:eastAsia="zh-CN" w:bidi="ar"/>
        </w:rPr>
        <w:t>27</w:t>
      </w:r>
      <w:r>
        <w:rPr>
          <w:rFonts w:hint="default" w:ascii="仿宋_GB2312" w:hAnsi="宋体" w:eastAsia="仿宋_GB2312" w:cs="仿宋_GB2312"/>
          <w:color w:val="333333"/>
          <w:kern w:val="0"/>
          <w:sz w:val="32"/>
          <w:szCs w:val="32"/>
          <w:shd w:val="clear" w:fill="FFFFFF"/>
          <w:lang w:val="en-US" w:eastAsia="zh-CN" w:bidi="ar"/>
        </w:rPr>
        <w:t>日</w:t>
      </w:r>
      <w:r>
        <w:rPr>
          <w:rFonts w:hint="eastAsia" w:ascii="仿宋_GB2312" w:hAnsi="宋体" w:eastAsia="仿宋_GB2312" w:cs="仿宋_GB2312"/>
          <w:color w:val="333333"/>
          <w:kern w:val="0"/>
          <w:sz w:val="32"/>
          <w:szCs w:val="32"/>
          <w:shd w:val="clear" w:fill="FFFFFF"/>
          <w:lang w:val="en-US" w:eastAsia="zh-CN" w:bidi="ar"/>
        </w:rPr>
        <w:t>17</w:t>
      </w:r>
      <w:r>
        <w:rPr>
          <w:rFonts w:hint="default" w:ascii="仿宋_GB2312" w:hAnsi="宋体" w:eastAsia="仿宋_GB2312" w:cs="仿宋_GB2312"/>
          <w:color w:val="333333"/>
          <w:kern w:val="0"/>
          <w:sz w:val="32"/>
          <w:szCs w:val="32"/>
          <w:shd w:val="clear" w:fill="FFFFFF"/>
          <w:lang w:val="en-US" w:eastAsia="zh-CN" w:bidi="ar"/>
        </w:rPr>
        <w:t>时</w:t>
      </w:r>
      <w:r>
        <w:rPr>
          <w:rFonts w:hint="eastAsia" w:ascii="仿宋_GB2312" w:hAnsi="宋体" w:eastAsia="仿宋_GB2312" w:cs="仿宋_GB2312"/>
          <w:color w:val="333333"/>
          <w:kern w:val="0"/>
          <w:sz w:val="32"/>
          <w:szCs w:val="32"/>
          <w:shd w:val="clear" w:fill="FFFFFF"/>
          <w:lang w:val="en-US" w:eastAsia="zh-CN" w:bidi="ar"/>
        </w:rPr>
        <w:t>30</w:t>
      </w:r>
      <w:r>
        <w:rPr>
          <w:rFonts w:hint="default" w:ascii="仿宋_GB2312" w:hAnsi="宋体" w:eastAsia="仿宋_GB2312" w:cs="仿宋_GB2312"/>
          <w:color w:val="333333"/>
          <w:kern w:val="0"/>
          <w:sz w:val="32"/>
          <w:szCs w:val="32"/>
          <w:shd w:val="clear" w:fill="FFFFFF"/>
          <w:lang w:val="en-US" w:eastAsia="zh-CN" w:bidi="ar"/>
        </w:rPr>
        <w:t>分前，将盖公章的确认回执（详见附件）发送至邮箱</w:t>
      </w:r>
      <w:r>
        <w:rPr>
          <w:rFonts w:hint="eastAsia" w:ascii="仿宋_GB2312" w:hAnsi="宋体" w:eastAsia="仿宋_GB2312" w:cs="宋体"/>
          <w:strike w:val="0"/>
          <w:dstrike w:val="0"/>
          <w:color w:val="auto"/>
          <w:kern w:val="0"/>
          <w:sz w:val="32"/>
          <w:szCs w:val="32"/>
          <w:highlight w:val="none"/>
          <w:lang w:val="en-US" w:eastAsia="zh-CN"/>
        </w:rPr>
        <w:t>2946607994</w:t>
      </w:r>
      <w:r>
        <w:rPr>
          <w:rFonts w:hint="default" w:ascii="仿宋_GB2312" w:hAnsi="宋体" w:eastAsia="仿宋_GB2312" w:cs="仿宋_GB2312"/>
          <w:color w:val="333333"/>
          <w:kern w:val="0"/>
          <w:sz w:val="32"/>
          <w:szCs w:val="32"/>
          <w:shd w:val="clear" w:fill="FFFFFF"/>
          <w:lang w:val="en-US" w:eastAsia="zh-CN" w:bidi="ar"/>
        </w:rPr>
        <w:t>@qq.com或携带授权委托书及有效居民身份证现场领取纸质版谈判文件。</w:t>
      </w:r>
    </w:p>
    <w:p>
      <w:pPr>
        <w:keepNext w:val="0"/>
        <w:keepLines w:val="0"/>
        <w:pageBreakBefore w:val="0"/>
        <w:kinsoku/>
        <w:wordWrap/>
        <w:overflowPunct/>
        <w:topLinePunct w:val="0"/>
        <w:autoSpaceDE/>
        <w:autoSpaceDN/>
        <w:bidi w:val="0"/>
        <w:adjustRightInd/>
        <w:snapToGrid/>
        <w:spacing w:line="480" w:lineRule="atLeast"/>
        <w:ind w:firstLine="649" w:firstLineChars="202"/>
        <w:textAlignment w:val="auto"/>
        <w:rPr>
          <w:rFonts w:hint="default" w:ascii="仿宋" w:hAnsi="仿宋" w:eastAsia="仿宋" w:cs="宋体"/>
          <w:color w:val="auto"/>
          <w:sz w:val="28"/>
          <w:szCs w:val="28"/>
          <w:highlight w:val="none"/>
          <w:lang w:val="en-US" w:eastAsia="zh-CN"/>
        </w:rPr>
      </w:pPr>
      <w:r>
        <w:rPr>
          <w:rFonts w:hint="eastAsia" w:ascii="黑体" w:hAnsi="宋体" w:eastAsia="黑体" w:cs="黑体"/>
          <w:b/>
          <w:bCs/>
          <w:color w:val="333333"/>
          <w:kern w:val="0"/>
          <w:sz w:val="32"/>
          <w:szCs w:val="32"/>
          <w:shd w:val="clear" w:fill="FFFFFF"/>
          <w:lang w:val="en-US" w:eastAsia="zh-CN" w:bidi="ar"/>
        </w:rPr>
        <w:t>四、工本费：</w:t>
      </w: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400元/套。请供应商缴纳至以下账户：</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s="仿宋"/>
          <w:strike w:val="0"/>
          <w:dstrike w:val="0"/>
          <w:color w:val="auto"/>
          <w:kern w:val="0"/>
          <w:sz w:val="28"/>
          <w:szCs w:val="28"/>
          <w:highlight w:val="none"/>
          <w:lang w:val="en-US" w:eastAsia="zh-CN"/>
        </w:rPr>
      </w:pPr>
      <w:r>
        <w:rPr>
          <w:rFonts w:hint="eastAsia" w:ascii="仿宋" w:hAnsi="仿宋" w:eastAsia="仿宋" w:cs="仿宋"/>
          <w:strike w:val="0"/>
          <w:dstrike w:val="0"/>
          <w:color w:val="auto"/>
          <w:kern w:val="0"/>
          <w:sz w:val="28"/>
          <w:szCs w:val="28"/>
          <w:highlight w:val="none"/>
          <w:lang w:val="en-US" w:eastAsia="zh-CN"/>
        </w:rPr>
        <w:t>开户名：安庆市皖宜项目咨询管理有限公司</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s="仿宋"/>
          <w:strike w:val="0"/>
          <w:dstrike w:val="0"/>
          <w:color w:val="auto"/>
          <w:kern w:val="0"/>
          <w:sz w:val="28"/>
          <w:szCs w:val="28"/>
          <w:highlight w:val="none"/>
          <w:lang w:val="en-US" w:eastAsia="zh-CN"/>
        </w:rPr>
      </w:pPr>
      <w:r>
        <w:rPr>
          <w:rFonts w:hint="eastAsia" w:ascii="仿宋" w:hAnsi="仿宋" w:eastAsia="仿宋" w:cs="仿宋"/>
          <w:strike w:val="0"/>
          <w:dstrike w:val="0"/>
          <w:color w:val="auto"/>
          <w:kern w:val="0"/>
          <w:sz w:val="28"/>
          <w:szCs w:val="28"/>
          <w:highlight w:val="none"/>
          <w:lang w:val="en-US" w:eastAsia="zh-CN"/>
        </w:rPr>
        <w:t>开户行：交通银行安庆集贤支行</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pPr>
      <w:r>
        <w:rPr>
          <w:rFonts w:hint="eastAsia" w:ascii="仿宋" w:hAnsi="仿宋" w:eastAsia="仿宋" w:cs="仿宋"/>
          <w:strike w:val="0"/>
          <w:dstrike w:val="0"/>
          <w:color w:val="auto"/>
          <w:kern w:val="0"/>
          <w:sz w:val="28"/>
          <w:szCs w:val="28"/>
          <w:highlight w:val="none"/>
          <w:lang w:val="en-US" w:eastAsia="zh-CN"/>
        </w:rPr>
        <w:t>账户：348709000018880001839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exact"/>
        <w:ind w:left="0" w:right="0" w:firstLine="643" w:firstLineChars="200"/>
        <w:jc w:val="left"/>
      </w:pPr>
      <w:r>
        <w:rPr>
          <w:rFonts w:hint="eastAsia" w:ascii="黑体" w:hAnsi="宋体" w:eastAsia="黑体" w:cs="黑体"/>
          <w:b/>
          <w:bCs/>
          <w:color w:val="333333"/>
          <w:kern w:val="0"/>
          <w:sz w:val="32"/>
          <w:szCs w:val="32"/>
          <w:shd w:val="clear" w:fill="FFFFFF"/>
          <w:lang w:val="en-US" w:eastAsia="zh-CN" w:bidi="ar"/>
        </w:rPr>
        <w:t>五、响应文件提交截止时间:</w:t>
      </w:r>
      <w:r>
        <w:rPr>
          <w:rFonts w:hint="default" w:ascii="仿宋_GB2312" w:hAnsi="宋体" w:eastAsia="仿宋_GB2312" w:cs="仿宋_GB2312"/>
          <w:color w:val="333333"/>
          <w:kern w:val="0"/>
          <w:sz w:val="32"/>
          <w:szCs w:val="32"/>
          <w:shd w:val="clear" w:fill="FFFFFF"/>
          <w:lang w:val="en-US" w:eastAsia="zh-CN" w:bidi="ar"/>
        </w:rPr>
        <w:t>2022年6月</w:t>
      </w:r>
      <w:r>
        <w:rPr>
          <w:rFonts w:hint="eastAsia" w:ascii="仿宋_GB2312" w:hAnsi="宋体" w:eastAsia="仿宋_GB2312" w:cs="仿宋_GB2312"/>
          <w:color w:val="333333"/>
          <w:kern w:val="0"/>
          <w:sz w:val="32"/>
          <w:szCs w:val="32"/>
          <w:shd w:val="clear" w:fill="FFFFFF"/>
          <w:lang w:val="en-US" w:eastAsia="zh-CN" w:bidi="ar"/>
        </w:rPr>
        <w:t>28</w:t>
      </w:r>
      <w:r>
        <w:rPr>
          <w:rFonts w:hint="default" w:ascii="仿宋_GB2312" w:hAnsi="宋体" w:eastAsia="仿宋_GB2312" w:cs="仿宋_GB2312"/>
          <w:color w:val="333333"/>
          <w:kern w:val="0"/>
          <w:sz w:val="32"/>
          <w:szCs w:val="32"/>
          <w:shd w:val="clear" w:fill="FFFFFF"/>
          <w:lang w:val="en-US" w:eastAsia="zh-CN" w:bidi="ar"/>
        </w:rPr>
        <w:t>日</w:t>
      </w:r>
      <w:r>
        <w:rPr>
          <w:rFonts w:hint="eastAsia" w:ascii="仿宋_GB2312" w:hAnsi="宋体" w:eastAsia="仿宋_GB2312" w:cs="仿宋_GB2312"/>
          <w:color w:val="333333"/>
          <w:kern w:val="0"/>
          <w:sz w:val="32"/>
          <w:szCs w:val="32"/>
          <w:shd w:val="clear" w:fill="FFFFFF"/>
          <w:lang w:val="en-US" w:eastAsia="zh-CN" w:bidi="ar"/>
        </w:rPr>
        <w:t xml:space="preserve">9 </w:t>
      </w:r>
      <w:r>
        <w:rPr>
          <w:rFonts w:hint="default" w:ascii="仿宋_GB2312" w:hAnsi="宋体" w:eastAsia="仿宋_GB2312" w:cs="仿宋_GB2312"/>
          <w:color w:val="333333"/>
          <w:kern w:val="0"/>
          <w:sz w:val="32"/>
          <w:szCs w:val="32"/>
          <w:shd w:val="clear" w:fill="FFFFFF"/>
          <w:lang w:val="en-US" w:eastAsia="zh-CN" w:bidi="ar"/>
        </w:rPr>
        <w:t>时</w:t>
      </w:r>
      <w:r>
        <w:rPr>
          <w:rFonts w:hint="eastAsia" w:ascii="仿宋_GB2312" w:hAnsi="宋体" w:eastAsia="仿宋_GB2312" w:cs="仿宋_GB2312"/>
          <w:color w:val="333333"/>
          <w:kern w:val="0"/>
          <w:sz w:val="32"/>
          <w:szCs w:val="32"/>
          <w:shd w:val="clear" w:fill="FFFFFF"/>
          <w:lang w:val="en-US" w:eastAsia="zh-CN" w:bidi="ar"/>
        </w:rPr>
        <w:t>00</w:t>
      </w:r>
      <w:r>
        <w:rPr>
          <w:rFonts w:hint="default" w:ascii="仿宋_GB2312" w:hAnsi="宋体" w:eastAsia="仿宋_GB2312" w:cs="仿宋_GB2312"/>
          <w:color w:val="333333"/>
          <w:kern w:val="0"/>
          <w:sz w:val="32"/>
          <w:szCs w:val="32"/>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exact"/>
        <w:ind w:left="0" w:right="0" w:firstLine="643" w:firstLineChars="200"/>
        <w:jc w:val="left"/>
      </w:pPr>
      <w:r>
        <w:rPr>
          <w:rFonts w:hint="eastAsia" w:ascii="黑体" w:hAnsi="宋体" w:eastAsia="黑体" w:cs="黑体"/>
          <w:b/>
          <w:bCs/>
          <w:color w:val="333333"/>
          <w:kern w:val="0"/>
          <w:sz w:val="32"/>
          <w:szCs w:val="32"/>
          <w:shd w:val="clear" w:fill="FFFFFF"/>
          <w:lang w:val="en-US" w:eastAsia="zh-CN" w:bidi="ar"/>
        </w:rPr>
        <w:t>六、采购谈判时间及地点：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exact"/>
        <w:ind w:left="0" w:right="0" w:firstLine="480" w:firstLineChars="150"/>
        <w:jc w:val="left"/>
      </w:pPr>
      <w:r>
        <w:rPr>
          <w:rFonts w:hint="default" w:ascii="仿宋_GB2312" w:hAnsi="宋体" w:eastAsia="仿宋_GB2312" w:cs="宋体"/>
          <w:color w:val="333333"/>
          <w:kern w:val="0"/>
          <w:sz w:val="32"/>
          <w:szCs w:val="32"/>
          <w:shd w:val="clear" w:fill="FFFFFF"/>
          <w:lang w:val="en-US" w:eastAsia="zh-CN" w:bidi="ar"/>
        </w:rPr>
        <w:t xml:space="preserve">     </w:t>
      </w:r>
      <w:r>
        <w:rPr>
          <w:rFonts w:hint="default" w:ascii="仿宋_GB2312" w:hAnsi="宋体" w:eastAsia="仿宋_GB2312" w:cs="仿宋_GB2312"/>
          <w:color w:val="333333"/>
          <w:kern w:val="0"/>
          <w:sz w:val="32"/>
          <w:szCs w:val="32"/>
          <w:shd w:val="clear" w:fill="FFFFFF"/>
          <w:lang w:val="en-US" w:eastAsia="zh-CN" w:bidi="ar"/>
        </w:rPr>
        <w:t>时间：2022年6月</w:t>
      </w:r>
      <w:r>
        <w:rPr>
          <w:rFonts w:hint="eastAsia" w:ascii="仿宋_GB2312" w:hAnsi="宋体" w:eastAsia="仿宋_GB2312" w:cs="仿宋_GB2312"/>
          <w:color w:val="333333"/>
          <w:kern w:val="0"/>
          <w:sz w:val="32"/>
          <w:szCs w:val="32"/>
          <w:shd w:val="clear" w:fill="FFFFFF"/>
          <w:lang w:val="en-US" w:eastAsia="zh-CN" w:bidi="ar"/>
        </w:rPr>
        <w:t>28</w:t>
      </w:r>
      <w:r>
        <w:rPr>
          <w:rFonts w:hint="default" w:ascii="仿宋_GB2312" w:hAnsi="宋体" w:eastAsia="仿宋_GB2312" w:cs="仿宋_GB2312"/>
          <w:color w:val="333333"/>
          <w:kern w:val="0"/>
          <w:sz w:val="32"/>
          <w:szCs w:val="32"/>
          <w:shd w:val="clear" w:fill="FFFFFF"/>
          <w:lang w:val="en-US" w:eastAsia="zh-CN" w:bidi="ar"/>
        </w:rPr>
        <w:t>日</w:t>
      </w:r>
      <w:r>
        <w:rPr>
          <w:rFonts w:hint="eastAsia" w:ascii="仿宋_GB2312" w:hAnsi="宋体" w:eastAsia="仿宋_GB2312" w:cs="仿宋_GB2312"/>
          <w:color w:val="333333"/>
          <w:kern w:val="0"/>
          <w:sz w:val="32"/>
          <w:szCs w:val="32"/>
          <w:shd w:val="clear" w:fill="FFFFFF"/>
          <w:lang w:val="en-US" w:eastAsia="zh-CN" w:bidi="ar"/>
        </w:rPr>
        <w:t>9</w:t>
      </w:r>
      <w:r>
        <w:rPr>
          <w:rFonts w:hint="default" w:ascii="仿宋_GB2312" w:hAnsi="宋体" w:eastAsia="仿宋_GB2312" w:cs="仿宋_GB2312"/>
          <w:color w:val="333333"/>
          <w:kern w:val="0"/>
          <w:sz w:val="32"/>
          <w:szCs w:val="32"/>
          <w:shd w:val="clear" w:fill="FFFFFF"/>
          <w:lang w:val="en-US" w:eastAsia="zh-CN" w:bidi="ar"/>
        </w:rPr>
        <w:t>时00分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exact"/>
        <w:ind w:left="0" w:right="0" w:firstLine="1280" w:firstLineChars="400"/>
        <w:jc w:val="left"/>
      </w:pPr>
      <w:r>
        <w:rPr>
          <w:rFonts w:hint="default" w:ascii="仿宋_GB2312" w:hAnsi="宋体" w:eastAsia="仿宋_GB2312" w:cs="仿宋_GB2312"/>
          <w:color w:val="333333"/>
          <w:kern w:val="0"/>
          <w:sz w:val="32"/>
          <w:szCs w:val="32"/>
          <w:shd w:val="clear" w:fill="FFFFFF"/>
          <w:lang w:val="en-US" w:eastAsia="zh-CN" w:bidi="ar"/>
        </w:rPr>
        <w:t>地点：安庆市公共资源交易中心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exact"/>
        <w:ind w:left="0" w:right="0" w:firstLine="643" w:firstLineChars="200"/>
        <w:jc w:val="left"/>
      </w:pPr>
      <w:r>
        <w:rPr>
          <w:rFonts w:hint="eastAsia" w:ascii="黑体" w:hAnsi="宋体" w:eastAsia="黑体" w:cs="黑体"/>
          <w:b/>
          <w:bCs/>
          <w:color w:val="333333"/>
          <w:kern w:val="0"/>
          <w:sz w:val="32"/>
          <w:szCs w:val="32"/>
          <w:shd w:val="clear" w:fill="FFFFFF"/>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exact"/>
        <w:ind w:left="0" w:right="0" w:firstLine="480" w:firstLineChars="150"/>
        <w:jc w:val="left"/>
      </w:pPr>
      <w:r>
        <w:rPr>
          <w:rFonts w:hint="default" w:ascii="仿宋_GB2312" w:hAnsi="宋体" w:eastAsia="仿宋_GB2312" w:cs="宋体"/>
          <w:color w:val="333333"/>
          <w:kern w:val="0"/>
          <w:sz w:val="32"/>
          <w:szCs w:val="32"/>
          <w:shd w:val="clear" w:fill="FFFFFF"/>
          <w:lang w:val="en-US" w:eastAsia="zh-CN" w:bidi="ar"/>
        </w:rPr>
        <w:t xml:space="preserve">     </w:t>
      </w:r>
      <w:r>
        <w:rPr>
          <w:rFonts w:hint="default" w:ascii="仿宋_GB2312" w:hAnsi="宋体" w:eastAsia="仿宋_GB2312" w:cs="仿宋_GB2312"/>
          <w:color w:val="333333"/>
          <w:kern w:val="0"/>
          <w:sz w:val="32"/>
          <w:szCs w:val="32"/>
          <w:shd w:val="clear" w:fill="FFFFFF"/>
          <w:lang w:val="en-US" w:eastAsia="zh-CN" w:bidi="ar"/>
        </w:rPr>
        <w:t>1、项目单位:安庆博物馆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exact"/>
        <w:ind w:left="0" w:right="0" w:firstLine="480" w:firstLineChars="150"/>
        <w:jc w:val="left"/>
      </w:pPr>
      <w:r>
        <w:rPr>
          <w:rFonts w:hint="default" w:ascii="仿宋_GB2312" w:hAnsi="宋体" w:eastAsia="仿宋_GB2312" w:cs="宋体"/>
          <w:color w:val="333333"/>
          <w:kern w:val="0"/>
          <w:sz w:val="32"/>
          <w:szCs w:val="32"/>
          <w:shd w:val="clear" w:fill="FFFFFF"/>
          <w:lang w:val="en-US" w:eastAsia="zh-CN" w:bidi="ar"/>
        </w:rPr>
        <w:t xml:space="preserve">        </w:t>
      </w:r>
      <w:r>
        <w:rPr>
          <w:rFonts w:hint="default" w:ascii="仿宋_GB2312" w:hAnsi="宋体" w:eastAsia="仿宋_GB2312" w:cs="仿宋_GB2312"/>
          <w:color w:val="333333"/>
          <w:kern w:val="0"/>
          <w:sz w:val="32"/>
          <w:szCs w:val="32"/>
          <w:shd w:val="clear" w:fill="FFFFFF"/>
          <w:lang w:val="en-US" w:eastAsia="zh-CN" w:bidi="ar"/>
        </w:rPr>
        <w:t>地址：安庆市经开区潜江路8号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exact"/>
        <w:ind w:left="0" w:right="0" w:firstLine="480" w:firstLineChars="150"/>
        <w:jc w:val="left"/>
      </w:pPr>
      <w:r>
        <w:rPr>
          <w:rFonts w:hint="default" w:ascii="仿宋_GB2312" w:hAnsi="宋体" w:eastAsia="仿宋_GB2312" w:cs="宋体"/>
          <w:color w:val="333333"/>
          <w:kern w:val="0"/>
          <w:sz w:val="32"/>
          <w:szCs w:val="32"/>
          <w:shd w:val="clear" w:fill="FFFFFF"/>
          <w:lang w:val="en-US" w:eastAsia="zh-CN" w:bidi="ar"/>
        </w:rPr>
        <w:t xml:space="preserve">        </w:t>
      </w:r>
      <w:r>
        <w:rPr>
          <w:rFonts w:hint="default" w:ascii="仿宋_GB2312" w:hAnsi="宋体" w:eastAsia="仿宋_GB2312" w:cs="仿宋_GB2312"/>
          <w:color w:val="333333"/>
          <w:kern w:val="0"/>
          <w:sz w:val="32"/>
          <w:szCs w:val="32"/>
          <w:shd w:val="clear" w:fill="FFFFFF"/>
          <w:lang w:val="en-US" w:eastAsia="zh-CN" w:bidi="ar"/>
        </w:rPr>
        <w:t>联系人：张梦驰</w:t>
      </w:r>
      <w:r>
        <w:rPr>
          <w:rFonts w:hint="default" w:ascii="仿宋_GB2312" w:hAnsi="宋体" w:eastAsia="仿宋_GB2312" w:cs="宋体"/>
          <w:color w:val="333333"/>
          <w:kern w:val="0"/>
          <w:sz w:val="32"/>
          <w:szCs w:val="32"/>
          <w:shd w:val="clear" w:fill="FFFFFF"/>
          <w:lang w:val="en-US" w:eastAsia="zh-CN" w:bidi="ar"/>
        </w:rPr>
        <w:t xml:space="preserve">      </w:t>
      </w:r>
      <w:r>
        <w:rPr>
          <w:rFonts w:hint="default" w:ascii="仿宋_GB2312" w:hAnsi="宋体" w:eastAsia="仿宋_GB2312" w:cs="仿宋_GB2312"/>
          <w:color w:val="333333"/>
          <w:kern w:val="0"/>
          <w:sz w:val="32"/>
          <w:szCs w:val="32"/>
          <w:shd w:val="clear" w:fill="FFFFFF"/>
          <w:lang w:val="en-US" w:eastAsia="zh-CN" w:bidi="ar"/>
        </w:rPr>
        <w:t>电话：0556-5365972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exact"/>
        <w:ind w:left="0" w:right="0" w:firstLine="480" w:firstLineChars="150"/>
        <w:jc w:val="left"/>
      </w:pPr>
      <w:r>
        <w:rPr>
          <w:rFonts w:hint="default" w:ascii="仿宋_GB2312" w:hAnsi="宋体" w:eastAsia="仿宋_GB2312" w:cs="宋体"/>
          <w:color w:val="333333"/>
          <w:kern w:val="0"/>
          <w:sz w:val="32"/>
          <w:szCs w:val="32"/>
          <w:shd w:val="clear" w:fill="FFFFFF"/>
          <w:lang w:val="en-US" w:eastAsia="zh-CN" w:bidi="ar"/>
        </w:rPr>
        <w:t xml:space="preserve">     </w:t>
      </w:r>
      <w:r>
        <w:rPr>
          <w:rFonts w:hint="default" w:ascii="仿宋_GB2312" w:hAnsi="宋体" w:eastAsia="仿宋_GB2312" w:cs="仿宋_GB2312"/>
          <w:color w:val="333333"/>
          <w:kern w:val="0"/>
          <w:sz w:val="32"/>
          <w:szCs w:val="32"/>
          <w:shd w:val="clear" w:fill="FFFFFF"/>
          <w:lang w:val="en-US" w:eastAsia="zh-CN" w:bidi="ar"/>
        </w:rPr>
        <w:t>2、代理机构信息：安庆市皖宜项目咨询管理有限公司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exact"/>
        <w:ind w:left="0" w:right="0" w:firstLine="480" w:firstLineChars="150"/>
        <w:jc w:val="left"/>
      </w:pPr>
      <w:r>
        <w:rPr>
          <w:rFonts w:hint="default" w:ascii="仿宋_GB2312" w:hAnsi="宋体" w:eastAsia="仿宋_GB2312" w:cs="宋体"/>
          <w:color w:val="333333"/>
          <w:kern w:val="0"/>
          <w:sz w:val="32"/>
          <w:szCs w:val="32"/>
          <w:shd w:val="clear" w:fill="FFFFFF"/>
          <w:lang w:val="en-US" w:eastAsia="zh-CN" w:bidi="ar"/>
        </w:rPr>
        <w:t xml:space="preserve">        </w:t>
      </w:r>
      <w:r>
        <w:rPr>
          <w:rFonts w:hint="default" w:ascii="仿宋_GB2312" w:hAnsi="宋体" w:eastAsia="仿宋_GB2312" w:cs="仿宋_GB2312"/>
          <w:color w:val="333333"/>
          <w:kern w:val="0"/>
          <w:sz w:val="32"/>
          <w:szCs w:val="32"/>
          <w:shd w:val="clear" w:fill="FFFFFF"/>
          <w:lang w:val="en-US" w:eastAsia="zh-CN" w:bidi="ar"/>
        </w:rPr>
        <w:t>地址：安庆市龙山路213号五楼交易一部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exact"/>
        <w:ind w:left="0" w:right="0" w:firstLine="480" w:firstLineChars="150"/>
        <w:jc w:val="left"/>
      </w:pPr>
      <w:r>
        <w:rPr>
          <w:rFonts w:hint="default" w:ascii="仿宋_GB2312" w:hAnsi="宋体" w:eastAsia="仿宋_GB2312" w:cs="宋体"/>
          <w:color w:val="333333"/>
          <w:kern w:val="0"/>
          <w:sz w:val="32"/>
          <w:szCs w:val="32"/>
          <w:shd w:val="clear" w:fill="FFFFFF"/>
          <w:lang w:val="en-US" w:eastAsia="zh-CN" w:bidi="ar"/>
        </w:rPr>
        <w:t xml:space="preserve">        </w:t>
      </w:r>
      <w:r>
        <w:rPr>
          <w:rFonts w:hint="default" w:ascii="仿宋_GB2312" w:hAnsi="宋体" w:eastAsia="仿宋_GB2312" w:cs="仿宋_GB2312"/>
          <w:color w:val="333333"/>
          <w:kern w:val="0"/>
          <w:sz w:val="32"/>
          <w:szCs w:val="32"/>
          <w:shd w:val="clear" w:fill="FFFFFF"/>
          <w:lang w:val="en-US" w:eastAsia="zh-CN" w:bidi="ar"/>
        </w:rPr>
        <w:t xml:space="preserve">联系人：吴群  </w:t>
      </w:r>
      <w:r>
        <w:rPr>
          <w:rFonts w:hint="default" w:ascii="仿宋_GB2312" w:hAnsi="宋体" w:eastAsia="仿宋_GB2312" w:cs="宋体"/>
          <w:color w:val="333333"/>
          <w:kern w:val="0"/>
          <w:sz w:val="32"/>
          <w:szCs w:val="32"/>
          <w:shd w:val="clear" w:fill="FFFFFF"/>
          <w:lang w:val="en-US" w:eastAsia="zh-CN" w:bidi="ar"/>
        </w:rPr>
        <w:t xml:space="preserve">      </w:t>
      </w:r>
      <w:r>
        <w:rPr>
          <w:rFonts w:hint="default" w:ascii="仿宋_GB2312" w:hAnsi="宋体" w:eastAsia="仿宋_GB2312" w:cs="仿宋_GB2312"/>
          <w:color w:val="333333"/>
          <w:kern w:val="0"/>
          <w:sz w:val="32"/>
          <w:szCs w:val="32"/>
          <w:shd w:val="clear" w:fill="FFFFFF"/>
          <w:lang w:val="en-US" w:eastAsia="zh-CN" w:bidi="ar"/>
        </w:rPr>
        <w:t>电话：0556-599115</w:t>
      </w:r>
      <w:r>
        <w:rPr>
          <w:rFonts w:hint="eastAsia" w:ascii="仿宋_GB2312" w:hAnsi="宋体" w:eastAsia="仿宋_GB2312" w:cs="仿宋_GB2312"/>
          <w:color w:val="333333"/>
          <w:kern w:val="0"/>
          <w:sz w:val="32"/>
          <w:szCs w:val="32"/>
          <w:shd w:val="clear" w:fill="FFFFFF"/>
          <w:lang w:val="en-US" w:eastAsia="zh-CN" w:bidi="ar"/>
        </w:rPr>
        <w:t>0</w:t>
      </w:r>
      <w:r>
        <w:rPr>
          <w:rFonts w:hint="default" w:ascii="仿宋_GB2312" w:hAnsi="宋体" w:eastAsia="仿宋_GB2312" w:cs="宋体"/>
          <w:color w:val="333333"/>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exact"/>
        <w:ind w:left="0" w:right="0" w:firstLine="643" w:firstLineChars="200"/>
        <w:jc w:val="left"/>
      </w:pPr>
      <w:r>
        <w:rPr>
          <w:rFonts w:hint="eastAsia" w:ascii="黑体" w:hAnsi="宋体" w:eastAsia="黑体" w:cs="黑体"/>
          <w:b/>
          <w:bCs/>
          <w:color w:val="333333"/>
          <w:kern w:val="0"/>
          <w:sz w:val="32"/>
          <w:szCs w:val="32"/>
          <w:shd w:val="clear" w:fill="FFFFFF"/>
          <w:lang w:val="en-US" w:eastAsia="zh-CN" w:bidi="ar"/>
        </w:rPr>
        <w:t>八、备注</w:t>
      </w:r>
    </w:p>
    <w:bookmarkEnd w:id="0"/>
    <w:bookmarkEnd w:id="1"/>
    <w:bookmarkEnd w:id="2"/>
    <w:p>
      <w:pPr>
        <w:pageBreakBefore w:val="0"/>
        <w:numPr>
          <w:ilvl w:val="0"/>
          <w:numId w:val="0"/>
        </w:numPr>
        <w:kinsoku/>
        <w:wordWrap/>
        <w:overflowPunct/>
        <w:topLinePunct w:val="0"/>
        <w:autoSpaceDE/>
        <w:autoSpaceDN/>
        <w:bidi w:val="0"/>
        <w:adjustRightInd/>
        <w:snapToGrid/>
        <w:spacing w:line="580" w:lineRule="exact"/>
        <w:ind w:firstLine="560" w:firstLineChars="200"/>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1、谈判响应人的联系人电话(手机)、电子邮箱等通讯方式在谈判过程中必须保持畅通，否则因上述原因造成的后果，责任自负。</w:t>
      </w:r>
    </w:p>
    <w:p>
      <w:pPr>
        <w:pageBreakBefore w:val="0"/>
        <w:widowControl/>
        <w:shd w:val="clear" w:color="auto" w:fill="FFFFFF"/>
        <w:kinsoku/>
        <w:wordWrap/>
        <w:overflowPunct/>
        <w:topLinePunct w:val="0"/>
        <w:autoSpaceDE/>
        <w:autoSpaceDN/>
        <w:bidi w:val="0"/>
        <w:adjustRightInd/>
        <w:snapToGrid/>
        <w:spacing w:line="58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rPr>
        <w:t>.本竞争性谈判文件的澄清、修改、补充说明等内容通过安庆市皖宜项目咨询管理有限公司（http://wyxmzx.com/index.html）发布，请务必随时关注，以免影响响应文件编制，因供应商未及时关注相关信息对投标造成的不利后果由其自行承担。</w:t>
      </w:r>
    </w:p>
    <w:p>
      <w:pPr>
        <w:pageBreakBefore w:val="0"/>
        <w:widowControl/>
        <w:shd w:val="clear" w:color="auto" w:fill="FFFFFF"/>
        <w:kinsoku/>
        <w:wordWrap/>
        <w:overflowPunct/>
        <w:topLinePunct w:val="0"/>
        <w:autoSpaceDE/>
        <w:autoSpaceDN/>
        <w:bidi w:val="0"/>
        <w:adjustRightInd/>
        <w:snapToGrid/>
        <w:spacing w:line="58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val="en-US" w:eastAsia="zh-CN"/>
        </w:rPr>
        <w:t>获取竞争性谈判</w:t>
      </w:r>
      <w:r>
        <w:rPr>
          <w:rFonts w:hint="eastAsia" w:ascii="仿宋_GB2312" w:hAnsi="宋体" w:eastAsia="仿宋_GB2312" w:cs="宋体"/>
          <w:color w:val="auto"/>
          <w:kern w:val="0"/>
          <w:sz w:val="28"/>
          <w:szCs w:val="28"/>
          <w:highlight w:val="none"/>
        </w:rPr>
        <w:t>文件，而放弃参加投标的</w:t>
      </w:r>
      <w:r>
        <w:rPr>
          <w:rFonts w:hint="eastAsia" w:ascii="仿宋_GB2312" w:hAnsi="宋体" w:eastAsia="仿宋_GB2312" w:cs="宋体"/>
          <w:color w:val="auto"/>
          <w:kern w:val="0"/>
          <w:sz w:val="28"/>
          <w:szCs w:val="28"/>
          <w:highlight w:val="none"/>
          <w:lang w:val="en-US" w:eastAsia="zh-CN"/>
        </w:rPr>
        <w:t>供应商</w:t>
      </w:r>
      <w:r>
        <w:rPr>
          <w:rFonts w:hint="eastAsia" w:ascii="仿宋_GB2312" w:hAnsi="宋体" w:eastAsia="仿宋_GB2312" w:cs="宋体"/>
          <w:color w:val="auto"/>
          <w:kern w:val="0"/>
          <w:sz w:val="28"/>
          <w:szCs w:val="28"/>
          <w:highlight w:val="none"/>
        </w:rPr>
        <w:t>，请在</w:t>
      </w:r>
      <w:r>
        <w:rPr>
          <w:rFonts w:hint="eastAsia" w:ascii="仿宋_GB2312" w:hAnsi="宋体" w:eastAsia="仿宋_GB2312" w:cs="宋体"/>
          <w:color w:val="auto"/>
          <w:kern w:val="0"/>
          <w:sz w:val="28"/>
          <w:szCs w:val="28"/>
          <w:highlight w:val="none"/>
          <w:lang w:val="en-US" w:eastAsia="zh-CN"/>
        </w:rPr>
        <w:t>响应文件提交</w:t>
      </w:r>
      <w:r>
        <w:rPr>
          <w:rFonts w:hint="eastAsia" w:ascii="仿宋_GB2312" w:hAnsi="宋体" w:eastAsia="仿宋_GB2312" w:cs="宋体"/>
          <w:color w:val="auto"/>
          <w:kern w:val="0"/>
          <w:sz w:val="28"/>
          <w:szCs w:val="28"/>
          <w:highlight w:val="none"/>
        </w:rPr>
        <w:t>截止日前</w:t>
      </w:r>
      <w:r>
        <w:rPr>
          <w:rFonts w:hint="eastAsia" w:ascii="仿宋_GB2312" w:hAnsi="宋体" w:eastAsia="仿宋_GB2312" w:cs="宋体"/>
          <w:color w:val="auto"/>
          <w:kern w:val="0"/>
          <w:sz w:val="28"/>
          <w:szCs w:val="28"/>
          <w:highlight w:val="none"/>
          <w:lang w:val="en-US" w:eastAsia="zh-CN"/>
        </w:rPr>
        <w:t>以单位名义向2946607994@qq.com邮箱发送弃标函（格式自拟）</w:t>
      </w:r>
      <w:r>
        <w:rPr>
          <w:rFonts w:hint="eastAsia" w:ascii="仿宋_GB2312" w:hAnsi="宋体" w:eastAsia="仿宋_GB2312" w:cs="宋体"/>
          <w:color w:val="auto"/>
          <w:kern w:val="0"/>
          <w:sz w:val="28"/>
          <w:szCs w:val="28"/>
          <w:highlight w:val="none"/>
        </w:rPr>
        <w:t>。</w:t>
      </w:r>
    </w:p>
    <w:p>
      <w:pPr>
        <w:pageBreakBefore w:val="0"/>
        <w:widowControl/>
        <w:shd w:val="clear" w:color="auto" w:fill="FFFFFF"/>
        <w:kinsoku/>
        <w:wordWrap/>
        <w:overflowPunct/>
        <w:topLinePunct w:val="0"/>
        <w:autoSpaceDE/>
        <w:autoSpaceDN/>
        <w:bidi w:val="0"/>
        <w:adjustRightInd/>
        <w:snapToGrid/>
        <w:spacing w:line="580" w:lineRule="exact"/>
        <w:ind w:firstLine="641"/>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4</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val="en-US" w:eastAsia="zh-CN"/>
        </w:rPr>
        <w:t>供应商</w:t>
      </w:r>
      <w:r>
        <w:rPr>
          <w:rFonts w:hint="eastAsia" w:ascii="仿宋_GB2312" w:hAnsi="宋体" w:eastAsia="仿宋_GB2312" w:cs="宋体"/>
          <w:color w:val="auto"/>
          <w:kern w:val="0"/>
          <w:sz w:val="28"/>
          <w:szCs w:val="28"/>
          <w:highlight w:val="none"/>
        </w:rPr>
        <w:t>属外省、市企业的，在合同签订前须到项目所在地行业行政主管部门办理相关信息登记手续。</w:t>
      </w:r>
    </w:p>
    <w:p>
      <w:pPr>
        <w:pStyle w:val="11"/>
        <w:ind w:firstLine="560" w:firstLineChars="200"/>
        <w:rPr>
          <w:rFonts w:hint="eastAsia" w:ascii="黑体" w:hAnsi="黑体" w:eastAsia="黑体" w:cs="宋体"/>
          <w:b/>
          <w:bCs/>
          <w:color w:val="000000"/>
          <w:kern w:val="0"/>
          <w:sz w:val="32"/>
          <w:szCs w:val="32"/>
          <w:highlight w:val="none"/>
        </w:rPr>
      </w:pPr>
      <w:r>
        <w:rPr>
          <w:rFonts w:hint="eastAsia" w:ascii="仿宋_GB2312" w:eastAsia="仿宋_GB2312" w:cs="宋体"/>
          <w:color w:val="auto"/>
          <w:kern w:val="0"/>
          <w:sz w:val="28"/>
          <w:szCs w:val="28"/>
          <w:highlight w:val="none"/>
          <w:lang w:val="en-US" w:eastAsia="zh-CN"/>
        </w:rPr>
        <w:t>5.本次竞争性谈判不要求谈判响应人提供纸质版谈判响应文件，谈判响应人制作完成并加盖谈判响应人公章（PDF等不可编辑的电子文件）后应对谈判响应文件进行文档加密。谈判响应人应在竞争性谈判文件截止时间前将加密谈判响应文件电子档发至2946607994@qq.com邮箱。谈判响应人应在竞争性谈判文件截止时间后30分钟内将加密文件电子档密码发至2946607994@qq.com邮箱。本项目实行远程询标。</w:t>
      </w:r>
    </w:p>
    <w:p>
      <w:pPr>
        <w:widowControl/>
        <w:shd w:val="clear" w:color="auto" w:fill="FFFFFF"/>
        <w:spacing w:line="560" w:lineRule="exact"/>
        <w:ind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    </w:t>
      </w:r>
    </w:p>
    <w:p>
      <w:pPr>
        <w:widowControl/>
        <w:shd w:val="clear" w:color="auto" w:fill="FFFFFF"/>
        <w:spacing w:line="560" w:lineRule="exact"/>
        <w:ind w:firstLine="641"/>
        <w:rPr>
          <w:rFonts w:ascii="仿宋_GB2312" w:hAnsi="宋体" w:eastAsia="仿宋_GB2312" w:cs="宋体"/>
          <w:color w:val="000000"/>
          <w:kern w:val="0"/>
          <w:sz w:val="32"/>
          <w:szCs w:val="32"/>
          <w:highlight w:val="none"/>
        </w:rPr>
      </w:pPr>
    </w:p>
    <w:p>
      <w:pPr>
        <w:widowControl/>
        <w:shd w:val="clear" w:color="auto" w:fill="FFFFFF"/>
        <w:spacing w:line="560" w:lineRule="exact"/>
        <w:ind w:firstLine="640" w:firstLineChars="200"/>
        <w:rPr>
          <w:rFonts w:ascii="仿宋_GB2312" w:hAnsi="宋体" w:eastAsia="仿宋_GB2312" w:cs="宋体"/>
          <w:color w:val="000000"/>
          <w:kern w:val="0"/>
          <w:sz w:val="32"/>
          <w:szCs w:val="32"/>
          <w:highlight w:val="none"/>
        </w:rPr>
      </w:pPr>
    </w:p>
    <w:p>
      <w:pPr>
        <w:widowControl/>
        <w:shd w:val="clear" w:color="auto" w:fill="FFFFFF"/>
        <w:spacing w:line="560" w:lineRule="exact"/>
        <w:ind w:firstLine="480" w:firstLineChars="150"/>
        <w:rPr>
          <w:rFonts w:ascii="仿宋_GB2312" w:hAnsi="宋体" w:eastAsia="仿宋_GB2312" w:cs="宋体"/>
          <w:color w:val="000000"/>
          <w:kern w:val="0"/>
          <w:sz w:val="32"/>
          <w:szCs w:val="32"/>
          <w:highlight w:val="none"/>
        </w:rPr>
      </w:pPr>
    </w:p>
    <w:p>
      <w:pPr>
        <w:widowControl/>
        <w:shd w:val="clear" w:color="auto" w:fill="FFFFFF"/>
        <w:spacing w:line="560" w:lineRule="exact"/>
        <w:ind w:firstLine="480" w:firstLineChars="150"/>
        <w:jc w:val="right"/>
        <w:rPr>
          <w:rFonts w:ascii="仿宋_GB2312" w:hAnsi="宋体" w:eastAsia="仿宋_GB2312" w:cs="宋体"/>
          <w:color w:val="000000"/>
          <w:kern w:val="0"/>
          <w:sz w:val="32"/>
          <w:szCs w:val="32"/>
          <w:highlight w:val="none"/>
        </w:rPr>
      </w:pPr>
      <w:r>
        <w:rPr>
          <w:rFonts w:ascii="仿宋_GB2312" w:hAnsi="宋体" w:eastAsia="仿宋_GB2312" w:cs="宋体"/>
          <w:color w:val="000000"/>
          <w:kern w:val="0"/>
          <w:sz w:val="32"/>
          <w:szCs w:val="32"/>
          <w:highlight w:val="none"/>
        </w:rPr>
        <w:t>202</w:t>
      </w:r>
      <w:r>
        <w:rPr>
          <w:rFonts w:hint="eastAsia" w:ascii="仿宋_GB2312" w:hAnsi="宋体" w:eastAsia="仿宋_GB2312" w:cs="宋体"/>
          <w:color w:val="000000"/>
          <w:kern w:val="0"/>
          <w:sz w:val="32"/>
          <w:szCs w:val="32"/>
          <w:highlight w:val="none"/>
          <w:lang w:val="en-US" w:eastAsia="zh-CN"/>
        </w:rPr>
        <w:t>2</w:t>
      </w:r>
      <w:r>
        <w:rPr>
          <w:rFonts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lang w:val="en-US" w:eastAsia="zh-CN"/>
        </w:rPr>
        <w:t>6</w:t>
      </w:r>
      <w:r>
        <w:rPr>
          <w:rFonts w:ascii="仿宋_GB2312" w:hAnsi="宋体" w:eastAsia="仿宋_GB2312" w:cs="宋体"/>
          <w:color w:val="000000"/>
          <w:kern w:val="0"/>
          <w:sz w:val="32"/>
          <w:szCs w:val="32"/>
          <w:highlight w:val="none"/>
        </w:rPr>
        <w:t>月</w:t>
      </w:r>
      <w:r>
        <w:rPr>
          <w:rFonts w:hint="eastAsia" w:ascii="仿宋_GB2312" w:hAnsi="宋体" w:eastAsia="仿宋_GB2312" w:cs="宋体"/>
          <w:color w:val="000000"/>
          <w:kern w:val="0"/>
          <w:sz w:val="32"/>
          <w:szCs w:val="32"/>
          <w:highlight w:val="none"/>
          <w:lang w:val="en-US" w:eastAsia="zh-CN"/>
        </w:rPr>
        <w:t>22</w:t>
      </w:r>
      <w:r>
        <w:rPr>
          <w:rFonts w:ascii="仿宋_GB2312" w:hAnsi="宋体" w:eastAsia="仿宋_GB2312" w:cs="宋体"/>
          <w:color w:val="000000"/>
          <w:kern w:val="0"/>
          <w:sz w:val="32"/>
          <w:szCs w:val="32"/>
          <w:highlight w:val="none"/>
        </w:rPr>
        <w:t>日</w:t>
      </w:r>
    </w:p>
    <w:p>
      <w:pPr>
        <w:pStyle w:val="24"/>
        <w:rPr>
          <w:rFonts w:ascii="仿宋_GB2312" w:hAnsi="宋体" w:eastAsia="仿宋_GB2312" w:cs="宋体"/>
          <w:color w:val="000000"/>
          <w:kern w:val="0"/>
          <w:sz w:val="32"/>
          <w:szCs w:val="32"/>
          <w:highlight w:val="none"/>
        </w:rPr>
      </w:pPr>
    </w:p>
    <w:p>
      <w:pPr>
        <w:rPr>
          <w:rFonts w:ascii="仿宋_GB2312" w:hAnsi="宋体" w:eastAsia="仿宋_GB2312" w:cs="宋体"/>
          <w:color w:val="000000"/>
          <w:kern w:val="0"/>
          <w:sz w:val="32"/>
          <w:szCs w:val="32"/>
          <w:highlight w:val="none"/>
        </w:rPr>
      </w:pPr>
    </w:p>
    <w:p>
      <w:pPr>
        <w:pStyle w:val="24"/>
        <w:rPr>
          <w:rFonts w:ascii="仿宋_GB2312" w:hAnsi="宋体" w:eastAsia="仿宋_GB2312" w:cs="宋体"/>
          <w:color w:val="000000"/>
          <w:kern w:val="0"/>
          <w:sz w:val="32"/>
          <w:szCs w:val="32"/>
          <w:highlight w:val="none"/>
        </w:rPr>
      </w:pPr>
    </w:p>
    <w:p>
      <w:pPr>
        <w:rPr>
          <w:rFonts w:ascii="仿宋_GB2312" w:hAnsi="宋体" w:eastAsia="仿宋_GB2312" w:cs="宋体"/>
          <w:color w:val="000000"/>
          <w:kern w:val="0"/>
          <w:sz w:val="32"/>
          <w:szCs w:val="32"/>
          <w:highlight w:val="none"/>
        </w:rPr>
      </w:pPr>
    </w:p>
    <w:p>
      <w:pPr>
        <w:pStyle w:val="24"/>
        <w:rPr>
          <w:rFonts w:ascii="仿宋_GB2312" w:hAnsi="宋体" w:eastAsia="仿宋_GB2312" w:cs="宋体"/>
          <w:color w:val="000000"/>
          <w:kern w:val="0"/>
          <w:sz w:val="32"/>
          <w:szCs w:val="32"/>
          <w:highlight w:val="none"/>
        </w:rPr>
      </w:pPr>
    </w:p>
    <w:p>
      <w:pPr>
        <w:rPr>
          <w:rFonts w:ascii="仿宋_GB2312" w:hAnsi="宋体" w:eastAsia="仿宋_GB2312" w:cs="宋体"/>
          <w:color w:val="000000"/>
          <w:kern w:val="0"/>
          <w:sz w:val="32"/>
          <w:szCs w:val="32"/>
          <w:highlight w:val="none"/>
        </w:rPr>
      </w:pPr>
    </w:p>
    <w:p>
      <w:pPr>
        <w:pStyle w:val="2"/>
        <w:rPr>
          <w:rFonts w:ascii="仿宋_GB2312" w:hAnsi="宋体" w:eastAsia="仿宋_GB2312" w:cs="宋体"/>
          <w:color w:val="000000"/>
          <w:kern w:val="0"/>
          <w:sz w:val="32"/>
          <w:szCs w:val="32"/>
          <w:highlight w:val="none"/>
        </w:rPr>
      </w:pPr>
    </w:p>
    <w:p>
      <w:pPr>
        <w:pStyle w:val="2"/>
        <w:rPr>
          <w:rFonts w:ascii="仿宋_GB2312" w:hAnsi="宋体" w:eastAsia="仿宋_GB2312" w:cs="宋体"/>
          <w:color w:val="000000"/>
          <w:kern w:val="0"/>
          <w:sz w:val="32"/>
          <w:szCs w:val="32"/>
          <w:highlight w:val="none"/>
        </w:rPr>
      </w:pPr>
    </w:p>
    <w:p>
      <w:pPr>
        <w:pStyle w:val="24"/>
        <w:rPr>
          <w:rFonts w:ascii="仿宋_GB2312" w:hAnsi="宋体" w:eastAsia="仿宋_GB2312" w:cs="宋体"/>
          <w:color w:val="000000"/>
          <w:kern w:val="0"/>
          <w:sz w:val="32"/>
          <w:szCs w:val="32"/>
          <w:highlight w:val="none"/>
        </w:rPr>
      </w:pPr>
    </w:p>
    <w:p>
      <w:pPr>
        <w:rPr>
          <w:rFonts w:ascii="仿宋_GB2312" w:hAnsi="宋体" w:eastAsia="仿宋_GB2312" w:cs="宋体"/>
          <w:color w:val="000000"/>
          <w:kern w:val="0"/>
          <w:sz w:val="32"/>
          <w:szCs w:val="32"/>
          <w:highlight w:val="none"/>
        </w:rPr>
      </w:pPr>
    </w:p>
    <w:p>
      <w:pPr>
        <w:pStyle w:val="24"/>
        <w:rPr>
          <w:rFonts w:ascii="仿宋_GB2312" w:hAnsi="宋体" w:eastAsia="仿宋_GB2312" w:cs="宋体"/>
          <w:color w:val="000000"/>
          <w:kern w:val="0"/>
          <w:sz w:val="32"/>
          <w:szCs w:val="32"/>
          <w:highlight w:val="none"/>
        </w:rPr>
      </w:pPr>
    </w:p>
    <w:p>
      <w:pPr>
        <w:pStyle w:val="24"/>
        <w:ind w:left="0" w:leftChars="0" w:firstLine="0" w:firstLineChars="0"/>
        <w:rPr>
          <w:rFonts w:ascii="仿宋_GB2312" w:hAnsi="宋体" w:eastAsia="仿宋_GB2312" w:cs="宋体"/>
          <w:color w:val="000000"/>
          <w:kern w:val="0"/>
          <w:sz w:val="32"/>
          <w:szCs w:val="32"/>
          <w:highlight w:val="none"/>
        </w:rPr>
      </w:pPr>
      <w:bookmarkStart w:id="57" w:name="_GoBack"/>
      <w:bookmarkEnd w:id="57"/>
    </w:p>
    <w:p>
      <w:pPr>
        <w:pStyle w:val="5"/>
        <w:jc w:val="left"/>
        <w:rPr>
          <w:rFonts w:hint="eastAsia" w:ascii="宋体" w:hAnsi="宋体" w:cs="宋体"/>
          <w:color w:val="auto"/>
          <w:sz w:val="24"/>
          <w:szCs w:val="36"/>
          <w:highlight w:val="none"/>
          <w:lang w:val="en-US" w:eastAsia="zh-CN"/>
        </w:rPr>
      </w:pPr>
      <w:r>
        <w:rPr>
          <w:rFonts w:hint="eastAsia" w:ascii="宋体" w:hAnsi="宋体" w:cs="宋体"/>
          <w:color w:val="auto"/>
          <w:sz w:val="24"/>
          <w:szCs w:val="36"/>
          <w:highlight w:val="none"/>
          <w:lang w:val="en-US" w:eastAsia="zh-CN"/>
        </w:rPr>
        <w:t>附件：</w:t>
      </w:r>
    </w:p>
    <w:p>
      <w:pPr>
        <w:pStyle w:val="5"/>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确认回执函</w:t>
      </w:r>
    </w:p>
    <w:p>
      <w:pPr>
        <w:jc w:val="both"/>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安庆博物馆：</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lang w:val="en-US" w:eastAsia="zh-CN"/>
        </w:rPr>
        <w:t>我单位确定参加</w:t>
      </w:r>
      <w:r>
        <w:rPr>
          <w:rFonts w:hint="eastAsia" w:ascii="仿宋" w:hAnsi="仿宋" w:eastAsia="仿宋" w:cs="仿宋"/>
          <w:b w:val="0"/>
          <w:bCs w:val="0"/>
          <w:color w:val="auto"/>
          <w:sz w:val="32"/>
          <w:szCs w:val="32"/>
          <w:highlight w:val="none"/>
          <w:u w:val="single"/>
          <w:lang w:val="en-US" w:eastAsia="zh-CN"/>
        </w:rPr>
        <w:t>智慧文旅综合管理平台之安庆智慧博物馆系统建设信息化项目建设方案编制</w:t>
      </w:r>
      <w:r>
        <w:rPr>
          <w:rFonts w:hint="eastAsia" w:ascii="仿宋" w:hAnsi="仿宋" w:eastAsia="仿宋" w:cs="仿宋"/>
          <w:b w:val="0"/>
          <w:bCs w:val="0"/>
          <w:color w:val="auto"/>
          <w:sz w:val="32"/>
          <w:szCs w:val="32"/>
          <w:highlight w:val="none"/>
          <w:lang w:val="en-US" w:eastAsia="zh-CN"/>
        </w:rPr>
        <w:t>的谈判</w:t>
      </w:r>
      <w:r>
        <w:rPr>
          <w:rFonts w:hint="eastAsia" w:ascii="仿宋" w:hAnsi="仿宋" w:eastAsia="仿宋" w:cs="仿宋"/>
          <w:b w:val="0"/>
          <w:bCs w:val="0"/>
          <w:color w:val="auto"/>
          <w:sz w:val="32"/>
          <w:szCs w:val="32"/>
          <w:highlight w:val="none"/>
          <w:u w:val="none"/>
          <w:lang w:val="en-US" w:eastAsia="zh-CN"/>
        </w:rPr>
        <w:t>。</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XXX（单位名称）</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p>
      <w:pPr>
        <w:widowControl/>
        <w:jc w:val="left"/>
        <w:rPr>
          <w:highlight w:val="none"/>
        </w:rPr>
      </w:pPr>
      <w:r>
        <w:rPr>
          <w:highlight w:val="none"/>
        </w:rPr>
        <w:br w:type="page"/>
      </w:r>
    </w:p>
    <w:p>
      <w:pPr>
        <w:pStyle w:val="5"/>
        <w:rPr>
          <w:rFonts w:ascii="宋体" w:hAnsi="宋体" w:cs="宋体"/>
          <w:color w:val="000000"/>
          <w:highlight w:val="none"/>
        </w:rPr>
      </w:pPr>
      <w:bookmarkStart w:id="3" w:name="_Toc15386"/>
      <w:bookmarkStart w:id="4" w:name="_Toc5725"/>
      <w:bookmarkStart w:id="5" w:name="_Toc55202308"/>
      <w:r>
        <w:rPr>
          <w:rFonts w:hint="eastAsia" w:ascii="宋体" w:hAnsi="宋体" w:cs="宋体"/>
          <w:color w:val="000000"/>
          <w:highlight w:val="none"/>
        </w:rPr>
        <w:t>第二章   谈判响应人须知</w:t>
      </w:r>
      <w:bookmarkEnd w:id="3"/>
      <w:bookmarkEnd w:id="4"/>
      <w:bookmarkEnd w:id="5"/>
    </w:p>
    <w:p>
      <w:pPr>
        <w:pStyle w:val="55"/>
        <w:rPr>
          <w:rFonts w:ascii="宋体" w:hAnsi="宋体"/>
          <w:color w:val="000000"/>
          <w:highlight w:val="none"/>
        </w:rPr>
      </w:pPr>
      <w:bookmarkStart w:id="6" w:name="_Toc55202309"/>
      <w:bookmarkStart w:id="7" w:name="_Toc27607"/>
      <w:r>
        <w:rPr>
          <w:rFonts w:hint="eastAsia" w:ascii="宋体" w:hAnsi="宋体"/>
          <w:color w:val="000000"/>
          <w:highlight w:val="none"/>
        </w:rPr>
        <w:t>第一节  谈判响应人须知前附表</w:t>
      </w:r>
      <w:bookmarkEnd w:id="6"/>
      <w:bookmarkEnd w:id="7"/>
    </w:p>
    <w:tbl>
      <w:tblPr>
        <w:tblStyle w:val="25"/>
        <w:tblW w:w="94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601"/>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000000"/>
                <w:szCs w:val="21"/>
                <w:highlight w:val="none"/>
              </w:rPr>
            </w:pPr>
            <w:r>
              <w:rPr>
                <w:rFonts w:hint="eastAsia" w:ascii="宋体" w:hAnsi="宋体" w:cs="宋体"/>
                <w:color w:val="000000"/>
                <w:szCs w:val="21"/>
                <w:highlight w:val="none"/>
              </w:rPr>
              <w:t>序号</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内容</w:t>
            </w:r>
          </w:p>
        </w:tc>
        <w:tc>
          <w:tcPr>
            <w:tcW w:w="7221"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项目编号</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CG-AQ-W2022-</w:t>
            </w:r>
            <w:r>
              <w:rPr>
                <w:rFonts w:hint="eastAsia" w:ascii="宋体" w:hAnsi="宋体" w:cs="宋体"/>
                <w:color w:val="000000"/>
                <w:szCs w:val="21"/>
                <w:highlight w:val="none"/>
                <w:lang w:eastAsia="zh-CN"/>
              </w:rPr>
              <w:t>0</w:t>
            </w:r>
            <w:r>
              <w:rPr>
                <w:rFonts w:hint="eastAsia" w:ascii="宋体" w:hAnsi="宋体" w:cs="宋体"/>
                <w:color w:val="000000"/>
                <w:szCs w:val="21"/>
                <w:highlight w:val="none"/>
                <w:lang w:val="en-US" w:eastAsia="zh-CN"/>
              </w:rPr>
              <w:t>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项目名称</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智慧文旅综合管理平台之安庆智慧博物馆系统建设信息化项目</w:t>
            </w:r>
            <w:r>
              <w:rPr>
                <w:rFonts w:hint="eastAsia" w:ascii="宋体" w:hAnsi="宋体" w:cs="宋体"/>
                <w:color w:val="000000"/>
                <w:szCs w:val="21"/>
                <w:highlight w:val="none"/>
                <w:lang w:eastAsia="zh-CN"/>
              </w:rPr>
              <w:t>建设方案</w:t>
            </w:r>
            <w:r>
              <w:rPr>
                <w:rFonts w:hint="eastAsia" w:ascii="宋体" w:hAnsi="宋体" w:eastAsia="宋体" w:cs="宋体"/>
                <w:color w:val="000000"/>
                <w:szCs w:val="21"/>
                <w:highlight w:val="none"/>
                <w:lang w:eastAsia="zh-CN"/>
              </w:rPr>
              <w:t>编制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采购人</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安庆博物馆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auto"/>
                <w:szCs w:val="21"/>
                <w:highlight w:val="none"/>
              </w:rPr>
              <w:t>4</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jc w:val="both"/>
              <w:rPr>
                <w:rFonts w:ascii="宋体" w:hAnsi="宋体" w:cs="宋体"/>
                <w:color w:val="000000"/>
                <w:szCs w:val="21"/>
                <w:highlight w:val="none"/>
              </w:rPr>
            </w:pPr>
            <w:r>
              <w:rPr>
                <w:rFonts w:hint="eastAsia" w:ascii="宋体" w:hAnsi="宋体" w:cs="宋体"/>
                <w:color w:val="auto"/>
                <w:szCs w:val="21"/>
                <w:highlight w:val="none"/>
              </w:rPr>
              <w:t>采购</w:t>
            </w:r>
            <w:r>
              <w:rPr>
                <w:rFonts w:hint="eastAsia" w:ascii="宋体" w:hAnsi="宋体" w:cs="宋体"/>
                <w:color w:val="auto"/>
                <w:szCs w:val="21"/>
                <w:highlight w:val="none"/>
                <w:lang w:val="en-US" w:eastAsia="zh-CN"/>
              </w:rPr>
              <w:t>代理</w:t>
            </w:r>
            <w:r>
              <w:rPr>
                <w:rFonts w:hint="eastAsia" w:ascii="宋体" w:hAnsi="宋体" w:cs="宋体"/>
                <w:color w:val="auto"/>
                <w:szCs w:val="21"/>
                <w:highlight w:val="none"/>
              </w:rPr>
              <w:t>机构</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kern w:val="0"/>
                <w:szCs w:val="21"/>
                <w:highlight w:val="none"/>
              </w:rPr>
            </w:pPr>
            <w:r>
              <w:rPr>
                <w:rFonts w:hint="eastAsia" w:ascii="宋体" w:hAnsi="宋体" w:cs="宋体"/>
                <w:color w:val="auto"/>
                <w:kern w:val="0"/>
                <w:szCs w:val="21"/>
                <w:highlight w:val="none"/>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采购方式</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包别划分</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资金来源</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谈判最高限价</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2万元（报价包含完成本次招标范围内所有工作的费用，采购人不再支付其他任何费用。）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9</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项目地点</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安庆市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10</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服务期</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自合同签订之日起7个工作日内完成。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11</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资格要求</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详见竞争性谈判公告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12</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资格审查方式</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13</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谈判响应有效期</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firstLineChars="0"/>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90日历天（从提交谈判响应文件截止时间算起）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14</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谈判响应保证金</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15</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谈判响应文件要求</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auto"/>
                <w:sz w:val="21"/>
                <w:szCs w:val="21"/>
                <w:highlight w:val="none"/>
              </w:rPr>
              <w:t>本次竞争性谈判不要求谈判响应人提供纸质版谈判响应文件，谈判响应人制作完成并加盖谈判响应人公章（PDF等不可编辑的电子文件）后应对谈判响应文件进行文档加密。谈判响应人应在竞争性谈判文件截止时间前将加密谈判响应文件电子档发至</w:t>
            </w:r>
            <w:r>
              <w:rPr>
                <w:rFonts w:hint="eastAsia" w:ascii="宋体" w:hAnsi="宋体" w:cs="宋体"/>
                <w:color w:val="auto"/>
                <w:sz w:val="21"/>
                <w:szCs w:val="21"/>
                <w:highlight w:val="none"/>
                <w:lang w:val="en-US" w:eastAsia="zh-CN"/>
              </w:rPr>
              <w:t>2946607994</w:t>
            </w:r>
            <w:r>
              <w:rPr>
                <w:rFonts w:hint="eastAsia" w:ascii="宋体" w:hAnsi="宋体" w:eastAsia="宋体" w:cs="宋体"/>
                <w:color w:val="auto"/>
                <w:sz w:val="21"/>
                <w:szCs w:val="21"/>
                <w:highlight w:val="none"/>
              </w:rPr>
              <w:t>@qq.com邮箱。谈判响应人应在竞争性谈判文件截止时间后30分钟内将加密文件电子档密码发至</w:t>
            </w:r>
            <w:r>
              <w:rPr>
                <w:rFonts w:hint="eastAsia" w:ascii="宋体" w:hAnsi="宋体" w:cs="宋体"/>
                <w:color w:val="auto"/>
                <w:sz w:val="21"/>
                <w:szCs w:val="21"/>
                <w:highlight w:val="none"/>
                <w:lang w:val="en-US" w:eastAsia="zh-CN"/>
              </w:rPr>
              <w:t>2946607994</w:t>
            </w:r>
            <w:r>
              <w:rPr>
                <w:rFonts w:hint="eastAsia" w:ascii="宋体" w:hAnsi="宋体" w:eastAsia="宋体" w:cs="宋体"/>
                <w:color w:val="auto"/>
                <w:sz w:val="21"/>
                <w:szCs w:val="21"/>
                <w:highlight w:val="none"/>
              </w:rPr>
              <w:t>@qq.com邮箱。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16</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提交响应文件</w:t>
            </w:r>
          </w:p>
        </w:tc>
        <w:tc>
          <w:tcPr>
            <w:tcW w:w="7221" w:type="dxa"/>
            <w:tcBorders>
              <w:top w:val="single" w:color="auto" w:sz="4" w:space="0"/>
              <w:left w:val="single" w:color="auto" w:sz="4" w:space="0"/>
              <w:bottom w:val="single" w:color="auto" w:sz="4" w:space="0"/>
              <w:right w:val="single" w:color="auto" w:sz="4" w:space="0"/>
            </w:tcBorders>
            <w:vAlign w:val="center"/>
          </w:tcPr>
          <w:p>
            <w:pPr>
              <w:pStyle w:val="10"/>
              <w:widowControl/>
              <w:spacing w:line="420" w:lineRule="exact"/>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1、提交响应文件截止时间：2022年</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lang w:val="en-US" w:eastAsia="zh-CN"/>
              </w:rPr>
              <w:t>28</w:t>
            </w:r>
            <w:r>
              <w:rPr>
                <w:rFonts w:hint="eastAsia" w:ascii="宋体" w:hAnsi="宋体" w:eastAsia="宋体" w:cs="宋体"/>
                <w:color w:val="000000"/>
                <w:sz w:val="21"/>
                <w:szCs w:val="21"/>
                <w:highlight w:val="none"/>
              </w:rPr>
              <w:t>日9时00分</w:t>
            </w:r>
            <w:r>
              <w:rPr>
                <w:rFonts w:hint="eastAsia" w:ascii="宋体" w:hAnsi="宋体" w:eastAsia="宋体" w:cs="宋体"/>
                <w:color w:val="000000"/>
                <w:sz w:val="21"/>
                <w:szCs w:val="21"/>
                <w:highlight w:val="none"/>
                <w:lang w:val="en-US" w:eastAsia="zh-CN"/>
              </w:rPr>
              <w:t xml:space="preserve"> </w:t>
            </w:r>
          </w:p>
          <w:p>
            <w:pPr>
              <w:pStyle w:val="10"/>
              <w:widowControl/>
              <w:spacing w:line="420" w:lineRule="exact"/>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2、谈判响应人应在竞争性谈判文件截止时间前将加密谈判响应文件电子档发至</w:t>
            </w:r>
            <w:r>
              <w:rPr>
                <w:rFonts w:hint="eastAsia" w:ascii="宋体" w:hAnsi="宋体" w:eastAsia="宋体" w:cs="宋体"/>
                <w:color w:val="000000"/>
                <w:sz w:val="21"/>
                <w:szCs w:val="21"/>
                <w:highlight w:val="none"/>
                <w:lang w:eastAsia="zh-CN"/>
              </w:rPr>
              <w:t>2946607994</w:t>
            </w:r>
            <w:r>
              <w:rPr>
                <w:rFonts w:hint="eastAsia" w:ascii="宋体" w:hAnsi="宋体" w:eastAsia="宋体" w:cs="宋体"/>
                <w:color w:val="000000"/>
                <w:sz w:val="21"/>
                <w:szCs w:val="21"/>
                <w:highlight w:val="none"/>
              </w:rPr>
              <w:t>@qq.com邮箱。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17</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媒介发布</w:t>
            </w:r>
          </w:p>
        </w:tc>
        <w:tc>
          <w:tcPr>
            <w:tcW w:w="72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color w:val="000000"/>
                <w:szCs w:val="21"/>
                <w:highlight w:val="none"/>
              </w:rPr>
            </w:pPr>
            <w:r>
              <w:rPr>
                <w:rFonts w:hint="eastAsia" w:ascii="宋体" w:hAnsi="宋体" w:cs="宋体"/>
                <w:color w:val="000000"/>
                <w:szCs w:val="21"/>
                <w:highlight w:val="none"/>
              </w:rPr>
              <w:t>本次竞争性谈判</w:t>
            </w:r>
            <w:r>
              <w:rPr>
                <w:rFonts w:hint="eastAsia" w:ascii="宋体" w:hAnsi="宋体" w:cs="宋体"/>
                <w:color w:val="000000"/>
                <w:szCs w:val="21"/>
                <w:highlight w:val="none"/>
                <w:lang w:eastAsia="zh-CN"/>
              </w:rPr>
              <w:t>公告</w:t>
            </w:r>
            <w:r>
              <w:rPr>
                <w:rFonts w:hint="eastAsia" w:ascii="宋体" w:hAnsi="宋体" w:cs="宋体"/>
                <w:color w:val="000000"/>
                <w:szCs w:val="21"/>
                <w:highlight w:val="none"/>
              </w:rPr>
              <w:t>在</w:t>
            </w:r>
          </w:p>
          <w:p>
            <w:pPr>
              <w:autoSpaceDE w:val="0"/>
              <w:autoSpaceDN w:val="0"/>
              <w:adjustRightInd w:val="0"/>
              <w:spacing w:line="380" w:lineRule="exact"/>
              <w:jc w:val="left"/>
              <w:rPr>
                <w:rFonts w:ascii="宋体" w:hAnsi="宋体" w:eastAsia="宋体" w:cs="宋体"/>
                <w:color w:val="000000"/>
                <w:kern w:val="2"/>
                <w:sz w:val="21"/>
                <w:szCs w:val="21"/>
                <w:highlight w:val="none"/>
                <w:lang w:val="en-US" w:eastAsia="zh-CN" w:bidi="ar-SA"/>
              </w:rPr>
            </w:pPr>
            <w:r>
              <w:rPr>
                <w:rFonts w:hint="eastAsia" w:ascii="宋体" w:hAnsi="宋体" w:cs="宋体"/>
                <w:color w:val="auto"/>
                <w:szCs w:val="21"/>
                <w:highlight w:val="none"/>
                <w:lang w:val="en-US" w:eastAsia="zh-CN"/>
              </w:rPr>
              <w:t>安庆市皖宜项目咨询管理有限公司（http://wyxmzx.com/index.html）</w:t>
            </w:r>
            <w:r>
              <w:rPr>
                <w:rFonts w:hint="eastAsia" w:ascii="宋体" w:hAnsi="宋体" w:eastAsia="宋体" w:cs="宋体"/>
                <w:color w:val="auto"/>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18</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谈判时间和地点</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时间: 2022年</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28 </w:t>
            </w:r>
            <w:r>
              <w:rPr>
                <w:rFonts w:hint="eastAsia" w:ascii="宋体" w:hAnsi="宋体" w:cs="宋体"/>
                <w:color w:val="000000"/>
                <w:szCs w:val="21"/>
                <w:highlight w:val="none"/>
              </w:rPr>
              <w:t>日9时00分</w:t>
            </w:r>
          </w:p>
          <w:p>
            <w:pPr>
              <w:spacing w:line="420" w:lineRule="exact"/>
              <w:ind w:firstLine="525" w:firstLineChars="250"/>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地点:</w:t>
            </w:r>
            <w:r>
              <w:rPr>
                <w:rFonts w:hint="eastAsia" w:ascii="宋体" w:hAnsi="宋体" w:cs="宋体"/>
                <w:color w:val="auto"/>
                <w:szCs w:val="21"/>
                <w:highlight w:val="none"/>
              </w:rPr>
              <w:t>安庆市公共资源交易中心</w:t>
            </w:r>
            <w:r>
              <w:rPr>
                <w:rFonts w:hint="eastAsia" w:ascii="宋体" w:hAnsi="宋体" w:cs="宋体"/>
                <w:color w:val="auto"/>
                <w:szCs w:val="21"/>
                <w:highlight w:val="none"/>
                <w:lang w:val="en-US" w:eastAsia="zh-CN"/>
              </w:rPr>
              <w:t>一楼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19</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评审方法</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b/>
                <w:color w:val="000000"/>
                <w:highlight w:val="none"/>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2</w:t>
            </w:r>
            <w:r>
              <w:rPr>
                <w:rFonts w:ascii="宋体" w:hAnsi="宋体" w:cs="宋体"/>
                <w:color w:val="000000"/>
                <w:szCs w:val="21"/>
                <w:highlight w:val="none"/>
              </w:rPr>
              <w:t>0</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履约保证金</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履约保证金金额：成交价的</w:t>
            </w:r>
            <w:r>
              <w:rPr>
                <w:rFonts w:hint="eastAsia" w:ascii="宋体" w:hAnsi="宋体" w:cs="宋体"/>
                <w:color w:val="000000"/>
                <w:szCs w:val="21"/>
                <w:highlight w:val="none"/>
                <w:u w:val="single"/>
              </w:rPr>
              <w:t>　</w:t>
            </w:r>
            <w:r>
              <w:rPr>
                <w:rFonts w:hint="eastAsia" w:ascii="宋体" w:hAnsi="宋体" w:cs="宋体"/>
                <w:color w:val="000000"/>
                <w:szCs w:val="21"/>
                <w:highlight w:val="none"/>
                <w:u w:val="single"/>
                <w:lang w:val="en-US" w:eastAsia="zh-CN"/>
              </w:rPr>
              <w:t>/</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rPr>
                <w:rFonts w:ascii="宋体" w:hAnsi="宋体" w:eastAsia="宋体" w:cs="宋体"/>
                <w:b/>
                <w:color w:val="000000"/>
                <w:kern w:val="2"/>
                <w:sz w:val="21"/>
                <w:szCs w:val="21"/>
                <w:highlight w:val="none"/>
                <w:lang w:val="en-US" w:eastAsia="zh-CN" w:bidi="ar-SA"/>
              </w:rPr>
            </w:pPr>
            <w:r>
              <w:rPr>
                <w:rFonts w:hint="eastAsia" w:ascii="宋体" w:hAnsi="宋体" w:cs="宋体"/>
                <w:color w:val="000000"/>
                <w:szCs w:val="21"/>
                <w:highlight w:val="none"/>
              </w:rPr>
              <w:t>履约保证金的提交：成交人在合同签订前按照竞争性谈判文件要求提交给采购人。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2</w:t>
            </w:r>
            <w:r>
              <w:rPr>
                <w:rFonts w:ascii="宋体" w:hAnsi="宋体" w:cs="宋体"/>
                <w:color w:val="000000"/>
                <w:szCs w:val="21"/>
                <w:highlight w:val="none"/>
              </w:rPr>
              <w:t>1</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服务费(元)</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按竞争性谈判文件规定收取，由成交人支付。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2</w:t>
            </w:r>
            <w:r>
              <w:rPr>
                <w:rFonts w:ascii="宋体" w:hAnsi="宋体" w:cs="宋体"/>
                <w:color w:val="000000"/>
                <w:szCs w:val="21"/>
                <w:highlight w:val="none"/>
              </w:rPr>
              <w:t>2</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付款方式</w:t>
            </w:r>
          </w:p>
        </w:tc>
        <w:tc>
          <w:tcPr>
            <w:tcW w:w="72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2"/>
                <w:sz w:val="21"/>
                <w:szCs w:val="21"/>
                <w:highlight w:val="none"/>
                <w:lang w:val="en-US" w:eastAsia="zh-CN" w:bidi="ar-SA"/>
              </w:rPr>
            </w:pPr>
            <w:r>
              <w:rPr>
                <w:rFonts w:hint="eastAsia" w:ascii="宋体" w:hAnsi="宋体" w:cs="宋体"/>
                <w:b/>
                <w:bCs/>
                <w:color w:val="auto"/>
                <w:szCs w:val="21"/>
                <w:highlight w:val="none"/>
                <w:lang w:val="en-US" w:eastAsia="zh-CN"/>
              </w:rPr>
              <w:t>方案设计达到业主需求后，一次性付清。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2</w:t>
            </w:r>
            <w:r>
              <w:rPr>
                <w:rFonts w:ascii="宋体" w:hAnsi="宋体" w:cs="宋体"/>
                <w:color w:val="000000"/>
                <w:szCs w:val="21"/>
                <w:highlight w:val="none"/>
              </w:rPr>
              <w:t>3</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备   注</w:t>
            </w:r>
          </w:p>
        </w:tc>
        <w:tc>
          <w:tcPr>
            <w:tcW w:w="72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本竞争性谈判文件的解释权归采购单位</w:t>
            </w:r>
            <w:r>
              <w:rPr>
                <w:rFonts w:hint="eastAsia" w:ascii="宋体" w:hAnsi="宋体" w:cs="宋体"/>
                <w:color w:val="000000"/>
                <w:szCs w:val="21"/>
                <w:highlight w:val="none"/>
                <w:lang w:eastAsia="zh-CN"/>
              </w:rPr>
              <w:t>。</w:t>
            </w:r>
          </w:p>
        </w:tc>
      </w:tr>
    </w:tbl>
    <w:p>
      <w:pPr>
        <w:pStyle w:val="55"/>
        <w:outlineLvl w:val="9"/>
        <w:rPr>
          <w:rFonts w:ascii="宋体" w:hAnsi="宋体"/>
          <w:color w:val="000000"/>
          <w:highlight w:val="none"/>
        </w:rPr>
      </w:pPr>
      <w:bookmarkStart w:id="8" w:name="_Toc14999"/>
    </w:p>
    <w:p>
      <w:pPr>
        <w:pStyle w:val="55"/>
        <w:rPr>
          <w:rFonts w:ascii="宋体" w:hAnsi="宋体"/>
          <w:color w:val="000000"/>
          <w:highlight w:val="none"/>
        </w:rPr>
      </w:pPr>
      <w:bookmarkStart w:id="9" w:name="_Toc55202310"/>
      <w:r>
        <w:rPr>
          <w:rFonts w:hint="eastAsia" w:ascii="宋体" w:hAnsi="宋体"/>
          <w:color w:val="000000"/>
          <w:highlight w:val="none"/>
        </w:rPr>
        <w:t>第二节  谈判响应人须知</w:t>
      </w:r>
      <w:bookmarkEnd w:id="8"/>
      <w:bookmarkEnd w:id="9"/>
    </w:p>
    <w:p>
      <w:pPr>
        <w:pStyle w:val="8"/>
        <w:ind w:firstLine="472" w:firstLineChars="196"/>
        <w:jc w:val="both"/>
        <w:rPr>
          <w:rFonts w:hAnsi="宋体" w:cs="宋体"/>
          <w:color w:val="000000"/>
          <w:highlight w:val="none"/>
        </w:rPr>
      </w:pPr>
      <w:bookmarkStart w:id="10" w:name="_Toc55202311"/>
      <w:bookmarkStart w:id="11" w:name="_Toc7034"/>
      <w:r>
        <w:rPr>
          <w:rFonts w:hint="eastAsia" w:hAnsi="宋体" w:cs="宋体"/>
          <w:color w:val="000000"/>
          <w:highlight w:val="none"/>
        </w:rPr>
        <w:t>一、总则</w:t>
      </w:r>
      <w:bookmarkEnd w:id="10"/>
      <w:bookmarkEnd w:id="11"/>
    </w:p>
    <w:p>
      <w:pPr>
        <w:spacing w:line="360" w:lineRule="auto"/>
        <w:ind w:firstLine="422" w:firstLineChars="200"/>
        <w:rPr>
          <w:rFonts w:ascii="宋体" w:hAnsi="宋体" w:cs="宋体"/>
          <w:color w:val="000000"/>
          <w:szCs w:val="21"/>
          <w:highlight w:val="none"/>
        </w:rPr>
      </w:pPr>
      <w:r>
        <w:rPr>
          <w:rFonts w:hint="eastAsia" w:ascii="宋体" w:hAnsi="宋体" w:cs="宋体"/>
          <w:b/>
          <w:color w:val="000000"/>
          <w:szCs w:val="21"/>
          <w:highlight w:val="none"/>
        </w:rPr>
        <w:t>1、</w:t>
      </w:r>
      <w:r>
        <w:rPr>
          <w:rFonts w:hint="eastAsia" w:ascii="宋体" w:hAnsi="宋体" w:cs="宋体"/>
          <w:color w:val="000000"/>
          <w:szCs w:val="21"/>
          <w:highlight w:val="none"/>
        </w:rPr>
        <w:t>本竞争性谈判文件根据《中华人民共和国政府采购法》（以下简称“《政府采购法》”）和《中华人民共和国政府采购法实施条例》等有关法律、法规、规章制定。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2、定义</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2.1、采购单位是指采购人和采购代理机构。</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2.2、谈判响应人是指对“谈判响应人须知前附表”序号2所指的项目表现出兴趣，按照</w:t>
      </w:r>
      <w:r>
        <w:rPr>
          <w:rFonts w:hint="eastAsia" w:ascii="宋体" w:hAnsi="宋体" w:cs="宋体"/>
          <w:color w:val="000000"/>
          <w:highlight w:val="none"/>
        </w:rPr>
        <w:t>约定</w:t>
      </w:r>
      <w:r>
        <w:rPr>
          <w:rFonts w:hint="eastAsia" w:ascii="宋体" w:hAnsi="宋体" w:cs="宋体"/>
          <w:color w:val="000000"/>
          <w:szCs w:val="21"/>
          <w:highlight w:val="none"/>
        </w:rPr>
        <w:t>的程序，从采购单位获取了竞争性谈判文件，并实际参与了该项目谈判活动的供应商。</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3、谈判响应人资格要求</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3.1、参与本项目的谈判响应人必须满足的要求：详见谈判响应人须知前附表。</w:t>
      </w:r>
    </w:p>
    <w:p>
      <w:pPr>
        <w:spacing w:line="5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3.2、谈判响应人之间如果存在下列情形之一的，不得同时参加同一包别或者不分包别的同一项目谈判响应：</w:t>
      </w:r>
    </w:p>
    <w:p>
      <w:pPr>
        <w:spacing w:line="5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highlight w:val="none"/>
        </w:rPr>
        <w:t>单位负责人为同一人或者存在直接控股、管理关系的不同供应商</w:t>
      </w:r>
      <w:r>
        <w:rPr>
          <w:rFonts w:hint="eastAsia" w:ascii="宋体" w:hAnsi="宋体" w:cs="宋体"/>
          <w:color w:val="000000"/>
          <w:szCs w:val="21"/>
          <w:highlight w:val="none"/>
        </w:rPr>
        <w:t>；</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highlight w:val="none"/>
        </w:rPr>
        <w:t>除单一来源采购项目外，为采购项目提供整体设计、规范编制或者项目管理、监理、检测等服务的供应商</w:t>
      </w:r>
      <w:r>
        <w:rPr>
          <w:rFonts w:hint="eastAsia" w:ascii="宋体" w:hAnsi="宋体" w:cs="宋体"/>
          <w:color w:val="000000"/>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.3</w:t>
      </w:r>
      <w:r>
        <w:rPr>
          <w:rFonts w:hint="eastAsia" w:ascii="宋体" w:hAnsi="宋体"/>
          <w:szCs w:val="21"/>
          <w:highlight w:val="none"/>
        </w:rPr>
        <w:t>、</w:t>
      </w:r>
      <w:r>
        <w:rPr>
          <w:rFonts w:hint="eastAsia" w:ascii="Arial" w:hAnsi="Arial" w:cs="Arial"/>
          <w:highlight w:val="none"/>
        </w:rPr>
        <w:t>银行、保险、石油化工、电力、电信等特殊行业的分公司参与</w:t>
      </w:r>
      <w:r>
        <w:rPr>
          <w:rFonts w:hint="eastAsia" w:ascii="宋体" w:hAnsi="宋体" w:cs="宋体"/>
          <w:color w:val="000000"/>
          <w:szCs w:val="21"/>
          <w:highlight w:val="none"/>
        </w:rPr>
        <w:t>谈判</w:t>
      </w:r>
      <w:r>
        <w:rPr>
          <w:rFonts w:hint="eastAsia" w:ascii="Arial" w:hAnsi="Arial" w:cs="Arial"/>
          <w:highlight w:val="none"/>
        </w:rPr>
        <w:t>，须取得总公司的相关授权（</w:t>
      </w:r>
      <w:r>
        <w:rPr>
          <w:rFonts w:hint="eastAsia" w:ascii="宋体" w:hAnsi="宋体" w:cs="宋体"/>
          <w:color w:val="000000"/>
          <w:szCs w:val="21"/>
          <w:highlight w:val="none"/>
        </w:rPr>
        <w:t>谈判响应</w:t>
      </w:r>
      <w:r>
        <w:rPr>
          <w:rFonts w:hint="eastAsia" w:ascii="Arial" w:hAnsi="Arial" w:cs="Arial"/>
          <w:highlight w:val="none"/>
        </w:rPr>
        <w:t>文件中须提供）；银行、保险、石油化工、电力、电信等特殊行业的分公司取得总公司相关授权后，</w:t>
      </w:r>
      <w:r>
        <w:rPr>
          <w:rFonts w:hint="eastAsia" w:ascii="宋体" w:hAnsi="宋体" w:cs="宋体"/>
          <w:color w:val="000000"/>
          <w:szCs w:val="21"/>
          <w:highlight w:val="none"/>
        </w:rPr>
        <w:t>谈判</w:t>
      </w:r>
      <w:r>
        <w:rPr>
          <w:rFonts w:hint="eastAsia" w:ascii="Arial" w:hAnsi="Arial" w:cs="Arial"/>
          <w:highlight w:val="none"/>
        </w:rPr>
        <w:t>文件中关于法定代表人的要求事项可由分公司负责人代理。</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w:t>
      </w:r>
      <w:r>
        <w:rPr>
          <w:rFonts w:ascii="宋体" w:hAnsi="宋体" w:cs="宋体"/>
          <w:color w:val="000000"/>
          <w:szCs w:val="21"/>
          <w:highlight w:val="none"/>
        </w:rPr>
        <w:t>4</w:t>
      </w:r>
      <w:r>
        <w:rPr>
          <w:rFonts w:hint="eastAsia" w:ascii="宋体" w:hAnsi="宋体" w:cs="宋体"/>
          <w:color w:val="000000"/>
          <w:szCs w:val="21"/>
          <w:highlight w:val="none"/>
        </w:rPr>
        <w:t>、谈判响应人必须确保自己信息真实、准确，否则，谈判响应人因此蒙受损失，采购单位概不负责。</w:t>
      </w:r>
    </w:p>
    <w:p>
      <w:pPr>
        <w:spacing w:line="360" w:lineRule="auto"/>
        <w:ind w:firstLine="422" w:firstLineChars="200"/>
        <w:rPr>
          <w:rFonts w:ascii="宋体" w:hAnsi="宋体" w:cs="宋体"/>
          <w:color w:val="000000"/>
          <w:szCs w:val="21"/>
          <w:highlight w:val="none"/>
        </w:rPr>
      </w:pPr>
      <w:r>
        <w:rPr>
          <w:rFonts w:hint="eastAsia" w:ascii="宋体" w:hAnsi="宋体" w:cs="宋体"/>
          <w:b/>
          <w:color w:val="000000"/>
          <w:highlight w:val="none"/>
        </w:rPr>
        <w:t>4、踏勘现场：</w:t>
      </w:r>
      <w:r>
        <w:rPr>
          <w:rFonts w:hint="eastAsia" w:ascii="宋体" w:hAnsi="宋体" w:cs="宋体"/>
          <w:color w:val="000000"/>
          <w:szCs w:val="21"/>
          <w:highlight w:val="none"/>
        </w:rPr>
        <w:t>谈判响应人自行踏勘现场。谈判响应人应认真对本项目实施现场环境进行踏勘，对项目环境和影响等因素，做出理性的判断和估价。谈判响应人自行负责在踏勘现场发生的人员伤亡和财产损失。成交后签订合同时和提供服务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color w:val="000000"/>
          <w:szCs w:val="21"/>
          <w:highlight w:val="none"/>
        </w:rPr>
      </w:pPr>
      <w:r>
        <w:rPr>
          <w:rFonts w:hint="eastAsia" w:ascii="宋体" w:hAnsi="宋体" w:cs="宋体"/>
          <w:b/>
          <w:color w:val="000000"/>
          <w:szCs w:val="21"/>
          <w:highlight w:val="none"/>
        </w:rPr>
        <w:t>5、联合体响应</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5.1、除非本项目明确要求不接受联合体形式响应外，两个或两个以上供应商可以组成一个联合体，以一个谈判响应人的身份响应。</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b/>
          <w:color w:val="000000"/>
          <w:highlight w:val="none"/>
        </w:rPr>
        <w:t>6、谈判响应费用：</w:t>
      </w:r>
      <w:r>
        <w:rPr>
          <w:rFonts w:hint="eastAsia" w:ascii="宋体" w:hAnsi="宋体" w:cs="宋体"/>
          <w:b/>
          <w:color w:val="000000"/>
          <w:szCs w:val="21"/>
          <w:highlight w:val="none"/>
        </w:rPr>
        <w:t>谈判响应人必须自行承担参加谈判响应的所有费用。</w:t>
      </w:r>
      <w:r>
        <w:rPr>
          <w:rFonts w:hint="eastAsia" w:ascii="宋体" w:hAnsi="宋体" w:cs="宋体"/>
          <w:color w:val="000000"/>
          <w:szCs w:val="21"/>
          <w:highlight w:val="none"/>
        </w:rPr>
        <w:t>不论成交与否，采购单位在任何情况下均无义务和责任承担这些费用。</w:t>
      </w:r>
    </w:p>
    <w:p>
      <w:pPr>
        <w:pStyle w:val="8"/>
        <w:ind w:firstLine="472" w:firstLineChars="196"/>
        <w:rPr>
          <w:rFonts w:hAnsi="宋体" w:cs="宋体"/>
          <w:color w:val="000000"/>
          <w:highlight w:val="none"/>
        </w:rPr>
      </w:pPr>
      <w:bookmarkStart w:id="12" w:name="_Toc8536"/>
      <w:bookmarkStart w:id="13" w:name="_Toc55202312"/>
      <w:r>
        <w:rPr>
          <w:rFonts w:hint="eastAsia" w:hAnsi="宋体" w:cs="宋体"/>
          <w:color w:val="000000"/>
          <w:highlight w:val="none"/>
        </w:rPr>
        <w:t>二、竞争性谈判文件</w:t>
      </w:r>
      <w:bookmarkEnd w:id="12"/>
      <w:bookmarkEnd w:id="13"/>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7、竞争性谈判文件的构成</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7.1、竞争性谈判文件包括：本竞争性谈判文件的全部内容；</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7.3、谈判响应人获取竞争性谈判文件后，应仔细检查竞争性谈判文件的所有内容，如有残缺、文本不清晰、表述不一致等问题应在获得竞争性谈判文件 1 日内向采购单位提出</w:t>
      </w:r>
      <w:r>
        <w:rPr>
          <w:rFonts w:hint="eastAsia" w:ascii="宋体" w:hAnsi="宋体" w:cs="宋体"/>
          <w:color w:val="auto"/>
          <w:szCs w:val="21"/>
          <w:highlight w:val="none"/>
          <w:lang w:val="en-US" w:eastAsia="zh-CN"/>
        </w:rPr>
        <w:t>并将问题发送至邮箱2946607994@qq.com</w:t>
      </w:r>
      <w:r>
        <w:rPr>
          <w:rFonts w:hint="eastAsia" w:ascii="宋体" w:hAnsi="宋体" w:cs="宋体"/>
          <w:color w:val="000000"/>
          <w:szCs w:val="21"/>
          <w:highlight w:val="none"/>
        </w:rPr>
        <w:t>，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color w:val="000000"/>
          <w:highlight w:val="none"/>
        </w:rPr>
        <w:t>约定，</w:t>
      </w:r>
      <w:r>
        <w:rPr>
          <w:rFonts w:hint="eastAsia" w:ascii="宋体" w:hAnsi="宋体" w:cs="宋体"/>
          <w:color w:val="000000"/>
          <w:szCs w:val="21"/>
          <w:highlight w:val="none"/>
        </w:rPr>
        <w:t>该谈判响应有可能被拒绝。</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8、竞争性谈判文件的澄清</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 xml:space="preserve"> 8.1、谈判响应人可以要求采购单位对竞争性谈判文件中的有关问题进行答疑或澄清。</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8.2、谈判响应人对竞争性谈判文件如有质疑，应在提交响应文件截止时间2个工作日前向采购单位提出并将问题发送至邮箱</w:t>
      </w:r>
      <w:r>
        <w:rPr>
          <w:rFonts w:hint="eastAsia" w:ascii="宋体" w:hAnsi="宋体" w:cs="宋体"/>
          <w:color w:val="000000"/>
          <w:szCs w:val="21"/>
          <w:highlight w:val="none"/>
          <w:lang w:val="en-US" w:eastAsia="zh-CN"/>
        </w:rPr>
        <w:t>2946607994</w:t>
      </w:r>
      <w:r>
        <w:rPr>
          <w:rFonts w:hint="eastAsia" w:ascii="宋体" w:hAnsi="宋体" w:cs="宋体"/>
          <w:color w:val="000000"/>
          <w:szCs w:val="21"/>
          <w:highlight w:val="none"/>
        </w:rPr>
        <w:t>@qq.com。</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9、竞争性谈判文件的修改</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9.1、采购单位可以对竞争性谈判文件进行修改。</w:t>
      </w:r>
    </w:p>
    <w:p>
      <w:pPr>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9.2、采购单位对谈判响应人质疑的答复和对竞争性谈判文件的澄清、修改、补充说明等内容均通过安庆市皖宜项目咨询管理有限公司（http://wyxmzx.com/index.html）发布，该修改内容作为竞争性谈判文件的组成部分，具有约束作用。</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9.3、当竞争性谈判文件与对竞争性谈判文件的澄清、修改、补充等在同一内容的表述上不一致时，以最后发出的为准。</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9.4、为使谈判响应人有充分时间对竞争性谈判文件的澄清、修改、补充部分进行研究，或是由于其他原因，采购单位可以决定顺延提交响应文件截止时间，</w:t>
      </w:r>
      <w:r>
        <w:rPr>
          <w:rFonts w:hint="eastAsia" w:ascii="宋体" w:hAnsi="宋体" w:cs="宋体"/>
          <w:color w:val="auto"/>
          <w:szCs w:val="21"/>
          <w:highlight w:val="none"/>
        </w:rPr>
        <w:t>具体时间通过</w:t>
      </w:r>
      <w:r>
        <w:rPr>
          <w:rFonts w:hint="eastAsia" w:ascii="宋体" w:hAnsi="宋体" w:eastAsia="宋体" w:cs="宋体"/>
          <w:b w:val="0"/>
          <w:bCs w:val="0"/>
          <w:color w:val="auto"/>
          <w:szCs w:val="21"/>
          <w:highlight w:val="none"/>
          <w:lang w:val="en-US" w:eastAsia="zh-CN"/>
        </w:rPr>
        <w:t>安庆市皖宜项目咨询管理有限公司</w:t>
      </w:r>
      <w:r>
        <w:rPr>
          <w:rFonts w:hint="eastAsia" w:ascii="宋体" w:hAnsi="宋体" w:cs="宋体"/>
          <w:b w:val="0"/>
          <w:bCs w:val="0"/>
          <w:color w:val="auto"/>
          <w:szCs w:val="21"/>
          <w:highlight w:val="none"/>
          <w:lang w:val="en-US" w:eastAsia="zh-CN"/>
        </w:rPr>
        <w:t>网站</w:t>
      </w:r>
      <w:r>
        <w:rPr>
          <w:rFonts w:hint="eastAsia" w:ascii="宋体" w:hAnsi="宋体" w:cs="宋体"/>
          <w:color w:val="auto"/>
          <w:szCs w:val="21"/>
          <w:highlight w:val="none"/>
        </w:rPr>
        <w:t>发布。</w:t>
      </w:r>
    </w:p>
    <w:p>
      <w:pPr>
        <w:pStyle w:val="8"/>
        <w:ind w:firstLine="472" w:firstLineChars="196"/>
        <w:rPr>
          <w:rFonts w:hAnsi="宋体" w:cs="宋体"/>
          <w:color w:val="000000"/>
          <w:highlight w:val="none"/>
        </w:rPr>
      </w:pPr>
      <w:bookmarkStart w:id="14" w:name="_Toc55202313"/>
      <w:bookmarkStart w:id="15" w:name="_Toc9821"/>
      <w:r>
        <w:rPr>
          <w:rFonts w:hint="eastAsia" w:hAnsi="宋体" w:cs="宋体"/>
          <w:color w:val="000000"/>
          <w:highlight w:val="none"/>
        </w:rPr>
        <w:t>三、谈判响应文件的编制</w:t>
      </w:r>
      <w:bookmarkEnd w:id="14"/>
      <w:bookmarkEnd w:id="15"/>
    </w:p>
    <w:p>
      <w:pPr>
        <w:spacing w:line="360" w:lineRule="auto"/>
        <w:rPr>
          <w:rFonts w:ascii="宋体" w:hAnsi="宋体" w:cs="宋体"/>
          <w:b/>
          <w:color w:val="000000"/>
          <w:szCs w:val="21"/>
          <w:highlight w:val="none"/>
        </w:rPr>
      </w:pPr>
      <w:r>
        <w:rPr>
          <w:rFonts w:hint="eastAsia" w:ascii="宋体" w:hAnsi="宋体" w:cs="宋体"/>
          <w:b/>
          <w:color w:val="000000"/>
          <w:szCs w:val="21"/>
          <w:highlight w:val="none"/>
        </w:rPr>
        <w:t xml:space="preserve">    10、谈判响应的语言及度量衡单位</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10.1、谈判响应人的谈判响应文件、谈判响应人与采购单位就谈判响应的所有往来函电，均须使用简体中文。</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10.2、除竞争性谈判文件中另有</w:t>
      </w:r>
      <w:r>
        <w:rPr>
          <w:rFonts w:hint="eastAsia" w:ascii="宋体" w:hAnsi="宋体" w:cs="宋体"/>
          <w:color w:val="000000"/>
          <w:highlight w:val="none"/>
        </w:rPr>
        <w:t>约定</w:t>
      </w:r>
      <w:r>
        <w:rPr>
          <w:rFonts w:hint="eastAsia" w:ascii="宋体" w:hAnsi="宋体" w:cs="宋体"/>
          <w:color w:val="000000"/>
          <w:szCs w:val="21"/>
          <w:highlight w:val="none"/>
        </w:rPr>
        <w:t>外，谈判响应文件所使用的度量衡均须采用中华人民共和国法定计量单位。</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11、谈判响应文件的构成</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11.1、谈判响应文件应该按照“谈判响应文件格式”</w:t>
      </w:r>
      <w:r>
        <w:rPr>
          <w:rFonts w:hint="eastAsia" w:ascii="宋体" w:hAnsi="宋体" w:cs="宋体"/>
          <w:color w:val="000000"/>
          <w:highlight w:val="none"/>
        </w:rPr>
        <w:t>约定</w:t>
      </w:r>
      <w:r>
        <w:rPr>
          <w:rFonts w:hint="eastAsia" w:ascii="宋体" w:hAnsi="宋体" w:cs="宋体"/>
          <w:color w:val="000000"/>
          <w:szCs w:val="21"/>
          <w:highlight w:val="none"/>
        </w:rPr>
        <w:t>的内容和顺序进行编写。</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11.2、谈判响应人应提交“谈判响应人须知前附表”中</w:t>
      </w:r>
      <w:r>
        <w:rPr>
          <w:rFonts w:hint="eastAsia" w:ascii="宋体" w:hAnsi="宋体" w:cs="宋体"/>
          <w:color w:val="000000"/>
          <w:highlight w:val="none"/>
        </w:rPr>
        <w:t>约定</w:t>
      </w:r>
      <w:r>
        <w:rPr>
          <w:rFonts w:hint="eastAsia" w:ascii="宋体" w:hAnsi="宋体" w:cs="宋体"/>
          <w:color w:val="000000"/>
          <w:szCs w:val="21"/>
          <w:highlight w:val="none"/>
        </w:rPr>
        <w:t>的谈判响应文件。</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szCs w:val="21"/>
          <w:highlight w:val="none"/>
        </w:rPr>
        <w:t>11.4、谈判响应人提供的产品质量和服务均能满足竞争性谈判文件</w:t>
      </w:r>
      <w:r>
        <w:rPr>
          <w:rFonts w:hint="eastAsia" w:ascii="宋体" w:hAnsi="宋体" w:cs="宋体"/>
          <w:color w:val="000000"/>
          <w:highlight w:val="none"/>
        </w:rPr>
        <w:t>约定</w:t>
      </w:r>
      <w:r>
        <w:rPr>
          <w:rFonts w:hint="eastAsia" w:ascii="宋体" w:hAnsi="宋体" w:cs="宋体"/>
          <w:color w:val="000000"/>
          <w:szCs w:val="21"/>
          <w:highlight w:val="none"/>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12、谈判响应报价</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12.1、谈判响应文件的</w:t>
      </w:r>
      <w:r>
        <w:rPr>
          <w:rFonts w:hint="eastAsia" w:ascii="宋体" w:hAnsi="宋体" w:cs="宋体"/>
          <w:color w:val="000000" w:themeColor="text1"/>
          <w:szCs w:val="21"/>
          <w:highlight w:val="none"/>
        </w:rPr>
        <w:t>服务</w:t>
      </w:r>
      <w:r>
        <w:rPr>
          <w:rFonts w:hint="eastAsia" w:ascii="宋体" w:hAnsi="宋体" w:cs="宋体"/>
          <w:color w:val="000000"/>
          <w:szCs w:val="21"/>
          <w:highlight w:val="none"/>
        </w:rPr>
        <w:t>报价表(首轮）上应清楚地标明谈判响应人拟</w:t>
      </w:r>
      <w:r>
        <w:rPr>
          <w:rFonts w:hint="eastAsia" w:ascii="宋体" w:hAnsi="宋体"/>
          <w:color w:val="000000"/>
          <w:szCs w:val="21"/>
          <w:highlight w:val="none"/>
        </w:rPr>
        <w:t>服务的名称、人员、设备、价格等内容。单价不作为合同结算依据。</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color w:val="000000"/>
          <w:szCs w:val="21"/>
          <w:highlight w:val="none"/>
        </w:rPr>
      </w:pPr>
      <w:r>
        <w:rPr>
          <w:rFonts w:hint="eastAsia" w:ascii="宋体" w:hAnsi="宋体" w:cs="宋体"/>
          <w:color w:val="000000"/>
          <w:szCs w:val="21"/>
          <w:highlight w:val="none"/>
        </w:rPr>
        <w:t>12.3、谈判响应人的报价应包含满足本次采购需求的所有费用</w:t>
      </w:r>
      <w:r>
        <w:rPr>
          <w:rFonts w:hint="eastAsia" w:ascii="宋体" w:hAnsi="宋体"/>
          <w:color w:val="000000"/>
          <w:szCs w:val="21"/>
          <w:highlight w:val="none"/>
        </w:rPr>
        <w:t>（包括但不限于：</w:t>
      </w:r>
      <w:r>
        <w:rPr>
          <w:rFonts w:hint="eastAsia" w:ascii="宋体" w:hAnsi="宋体" w:cs="宋体"/>
          <w:color w:val="000000"/>
          <w:szCs w:val="21"/>
          <w:highlight w:val="none"/>
        </w:rPr>
        <w:t>人工费、材料费、交通费、培训费、印刷费、管理费、保险、税金等）。</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12.4、谈判响应报价高于最高限价的谈判响应无效。</w:t>
      </w:r>
    </w:p>
    <w:p>
      <w:pPr>
        <w:spacing w:line="360" w:lineRule="auto"/>
        <w:ind w:firstLine="420" w:firstLineChars="200"/>
        <w:rPr>
          <w:rFonts w:ascii="宋体" w:hAnsi="宋体"/>
          <w:szCs w:val="21"/>
          <w:highlight w:val="none"/>
        </w:rPr>
      </w:pPr>
      <w:r>
        <w:rPr>
          <w:rFonts w:hint="eastAsia" w:ascii="宋体" w:hAnsi="宋体"/>
          <w:szCs w:val="21"/>
          <w:highlight w:val="none"/>
        </w:rPr>
        <w:t>12.</w:t>
      </w:r>
      <w:r>
        <w:rPr>
          <w:rFonts w:ascii="宋体" w:hAnsi="宋体"/>
          <w:szCs w:val="21"/>
          <w:highlight w:val="none"/>
        </w:rPr>
        <w:t>5</w:t>
      </w:r>
      <w:r>
        <w:rPr>
          <w:rFonts w:hint="eastAsia" w:ascii="宋体" w:hAnsi="宋体"/>
          <w:szCs w:val="21"/>
          <w:highlight w:val="none"/>
        </w:rPr>
        <w:t>、谈判响应文件内容不一致的确认。</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2</w:t>
      </w:r>
      <w:r>
        <w:rPr>
          <w:rFonts w:hint="eastAsia" w:ascii="宋体" w:hAnsi="宋体" w:cs="宋体"/>
          <w:color w:val="000000"/>
          <w:szCs w:val="21"/>
          <w:highlight w:val="none"/>
        </w:rPr>
        <w:t>.5</w:t>
      </w:r>
      <w:r>
        <w:rPr>
          <w:rFonts w:ascii="宋体" w:hAnsi="宋体" w:cs="宋体"/>
          <w:color w:val="000000"/>
          <w:szCs w:val="21"/>
          <w:highlight w:val="none"/>
        </w:rPr>
        <w:t>.1</w:t>
      </w:r>
      <w:r>
        <w:rPr>
          <w:rFonts w:hint="eastAsia" w:ascii="宋体" w:hAnsi="宋体" w:cs="宋体"/>
          <w:color w:val="000000"/>
          <w:szCs w:val="21"/>
          <w:highlight w:val="none"/>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2</w:t>
      </w:r>
      <w:r>
        <w:rPr>
          <w:rFonts w:hint="eastAsia" w:ascii="宋体" w:hAnsi="宋体" w:cs="宋体"/>
          <w:color w:val="000000"/>
          <w:szCs w:val="21"/>
          <w:highlight w:val="none"/>
        </w:rPr>
        <w:t>.</w:t>
      </w:r>
      <w:r>
        <w:rPr>
          <w:rFonts w:ascii="宋体" w:hAnsi="宋体" w:cs="宋体"/>
          <w:color w:val="000000"/>
          <w:szCs w:val="21"/>
          <w:highlight w:val="none"/>
        </w:rPr>
        <w:t>5.2</w:t>
      </w:r>
      <w:r>
        <w:rPr>
          <w:rFonts w:hint="eastAsia" w:ascii="宋体" w:hAnsi="宋体" w:cs="宋体"/>
          <w:color w:val="000000"/>
          <w:szCs w:val="21"/>
          <w:highlight w:val="none"/>
        </w:rPr>
        <w:t>、若大写金额和小写金额不一致的，以大写金额为准;</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2</w:t>
      </w:r>
      <w:r>
        <w:rPr>
          <w:rFonts w:hint="eastAsia" w:ascii="宋体" w:hAnsi="宋体" w:cs="宋体"/>
          <w:color w:val="000000"/>
          <w:szCs w:val="21"/>
          <w:highlight w:val="none"/>
        </w:rPr>
        <w:t>.</w:t>
      </w:r>
      <w:r>
        <w:rPr>
          <w:rFonts w:ascii="宋体" w:hAnsi="宋体" w:cs="宋体"/>
          <w:color w:val="000000"/>
          <w:szCs w:val="21"/>
          <w:highlight w:val="none"/>
        </w:rPr>
        <w:t>5.3</w:t>
      </w:r>
      <w:r>
        <w:rPr>
          <w:rFonts w:hint="eastAsia" w:ascii="宋体" w:hAnsi="宋体" w:cs="宋体"/>
          <w:color w:val="000000"/>
          <w:szCs w:val="21"/>
          <w:highlight w:val="none"/>
        </w:rPr>
        <w:t>、单价金额小数点或者百分比有明显错位的，应以谈判响应函(谈判响应报价)为准，并修正单价。</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2</w:t>
      </w:r>
      <w:r>
        <w:rPr>
          <w:rFonts w:hint="eastAsia" w:ascii="宋体" w:hAnsi="宋体" w:cs="宋体"/>
          <w:color w:val="000000"/>
          <w:szCs w:val="21"/>
          <w:highlight w:val="none"/>
        </w:rPr>
        <w:t>.</w:t>
      </w:r>
      <w:r>
        <w:rPr>
          <w:rFonts w:ascii="宋体" w:hAnsi="宋体" w:cs="宋体"/>
          <w:color w:val="000000"/>
          <w:szCs w:val="21"/>
          <w:highlight w:val="none"/>
        </w:rPr>
        <w:t>5.4</w:t>
      </w:r>
      <w:r>
        <w:rPr>
          <w:rFonts w:hint="eastAsia" w:ascii="宋体" w:hAnsi="宋体" w:cs="宋体"/>
          <w:color w:val="000000"/>
          <w:szCs w:val="21"/>
          <w:highlight w:val="none"/>
        </w:rPr>
        <w:t>、总价金额与按单价汇总金额不一致的，以单价金额计算结果为准。</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同时出现两种以上不一致的，按照以上规定的顺序修正。修正后的报价应当通过</w:t>
      </w:r>
      <w:r>
        <w:rPr>
          <w:rFonts w:hint="eastAsia" w:ascii="宋体" w:hAnsi="宋体"/>
          <w:szCs w:val="21"/>
          <w:highlight w:val="none"/>
        </w:rPr>
        <w:t>电子交易系统提交</w:t>
      </w:r>
      <w:r>
        <w:rPr>
          <w:rFonts w:hint="eastAsia" w:ascii="宋体" w:hAnsi="宋体" w:cs="宋体"/>
          <w:color w:val="000000"/>
          <w:szCs w:val="21"/>
          <w:highlight w:val="none"/>
        </w:rPr>
        <w:t>，并加盖电子公章或者法定代表人电子签章,但不得超出谈判响应文件的范围或者改变谈判响应文件的实质性内容。经谈判响应人确认后产生约束力，谈判响应人不确认的，其谈判响应无效。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cs="宋体"/>
          <w:color w:val="000000"/>
          <w:szCs w:val="21"/>
          <w:highlight w:val="none"/>
        </w:rPr>
      </w:pPr>
      <w:r>
        <w:rPr>
          <w:rFonts w:hint="eastAsia" w:ascii="宋体" w:hAnsi="宋体" w:cs="宋体"/>
          <w:b/>
          <w:color w:val="000000"/>
          <w:szCs w:val="21"/>
          <w:highlight w:val="none"/>
        </w:rPr>
        <w:t>谈判响应货币：</w:t>
      </w:r>
      <w:r>
        <w:rPr>
          <w:rFonts w:hint="eastAsia" w:ascii="宋体" w:hAnsi="宋体" w:cs="宋体"/>
          <w:color w:val="000000"/>
          <w:szCs w:val="21"/>
          <w:highlight w:val="none"/>
        </w:rPr>
        <w:t>人民币。</w:t>
      </w:r>
    </w:p>
    <w:p>
      <w:pPr>
        <w:numPr>
          <w:ilvl w:val="0"/>
          <w:numId w:val="1"/>
        </w:num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有下述情形之一的处理：</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14.1、谈判响应人有下列情形之一的，记入不良行为记录：</w:t>
      </w:r>
    </w:p>
    <w:p>
      <w:pPr>
        <w:spacing w:line="360" w:lineRule="auto"/>
        <w:ind w:left="420"/>
        <w:rPr>
          <w:rFonts w:ascii="宋体" w:hAnsi="宋体" w:cs="宋体"/>
          <w:color w:val="000000"/>
          <w:szCs w:val="21"/>
          <w:highlight w:val="none"/>
        </w:rPr>
      </w:pPr>
      <w:r>
        <w:rPr>
          <w:rFonts w:hint="eastAsia" w:ascii="宋体" w:hAnsi="宋体" w:cs="宋体"/>
          <w:color w:val="000000"/>
          <w:szCs w:val="21"/>
          <w:highlight w:val="none"/>
        </w:rPr>
        <w:t>（1）谈判响应文件提交截止时间后，谈判响应人在谈判响应有效期内撤销谈判响应文件的；</w:t>
      </w:r>
    </w:p>
    <w:p>
      <w:pPr>
        <w:spacing w:line="360" w:lineRule="auto"/>
        <w:ind w:left="420"/>
        <w:rPr>
          <w:rFonts w:ascii="宋体" w:hAnsi="宋体" w:cs="宋体"/>
          <w:color w:val="000000"/>
          <w:szCs w:val="21"/>
          <w:highlight w:val="none"/>
        </w:rPr>
      </w:pPr>
      <w:r>
        <w:rPr>
          <w:rFonts w:hint="eastAsia" w:ascii="宋体" w:hAnsi="宋体" w:cs="宋体"/>
          <w:color w:val="000000"/>
          <w:szCs w:val="21"/>
          <w:highlight w:val="none"/>
        </w:rPr>
        <w:t>（2）成交人无正当理由不与采购人订立合同的，或在签订合同时向采购人提出附加条件的；</w:t>
      </w:r>
    </w:p>
    <w:p>
      <w:pPr>
        <w:spacing w:line="360" w:lineRule="auto"/>
        <w:ind w:left="420"/>
        <w:rPr>
          <w:rFonts w:ascii="宋体" w:hAnsi="宋体" w:cs="宋体"/>
          <w:color w:val="000000"/>
          <w:szCs w:val="21"/>
          <w:highlight w:val="none"/>
        </w:rPr>
      </w:pPr>
      <w:r>
        <w:rPr>
          <w:rFonts w:hint="eastAsia" w:ascii="宋体" w:hAnsi="宋体" w:cs="宋体"/>
          <w:color w:val="000000"/>
          <w:szCs w:val="21"/>
          <w:highlight w:val="none"/>
        </w:rPr>
        <w:t>（3）不按照竞争性谈判文件要求提交履约保证金的；</w:t>
      </w:r>
    </w:p>
    <w:p>
      <w:pPr>
        <w:spacing w:line="360" w:lineRule="auto"/>
        <w:ind w:left="420"/>
        <w:rPr>
          <w:rFonts w:ascii="宋体" w:hAnsi="宋体" w:cs="宋体"/>
          <w:color w:val="000000"/>
          <w:szCs w:val="21"/>
          <w:highlight w:val="none"/>
        </w:rPr>
      </w:pPr>
      <w:r>
        <w:rPr>
          <w:rFonts w:hint="eastAsia" w:ascii="宋体" w:hAnsi="宋体" w:cs="宋体"/>
          <w:color w:val="000000"/>
          <w:szCs w:val="21"/>
          <w:highlight w:val="none"/>
        </w:rPr>
        <w:t>（4）将成交项目转让给他人，或未按相关规定将成交项目分包给他人的；</w:t>
      </w:r>
    </w:p>
    <w:p>
      <w:pPr>
        <w:spacing w:line="360" w:lineRule="auto"/>
        <w:ind w:left="420"/>
        <w:rPr>
          <w:rFonts w:ascii="宋体" w:hAnsi="宋体" w:cs="宋体"/>
          <w:color w:val="000000"/>
          <w:szCs w:val="21"/>
          <w:highlight w:val="none"/>
        </w:rPr>
      </w:pPr>
      <w:r>
        <w:rPr>
          <w:rFonts w:hint="eastAsia" w:ascii="宋体" w:hAnsi="宋体" w:cs="宋体"/>
          <w:color w:val="000000"/>
          <w:szCs w:val="21"/>
          <w:highlight w:val="none"/>
        </w:rPr>
        <w:t>（5）成交人拒绝履行合同义务的；</w:t>
      </w:r>
    </w:p>
    <w:p>
      <w:pPr>
        <w:spacing w:line="360" w:lineRule="auto"/>
        <w:ind w:left="420"/>
        <w:rPr>
          <w:rFonts w:ascii="宋体" w:hAnsi="宋体" w:cs="宋体"/>
          <w:color w:val="000000"/>
          <w:szCs w:val="21"/>
          <w:highlight w:val="none"/>
        </w:rPr>
      </w:pPr>
      <w:r>
        <w:rPr>
          <w:rFonts w:hint="eastAsia" w:ascii="宋体" w:hAnsi="宋体" w:cs="宋体"/>
          <w:color w:val="000000"/>
          <w:szCs w:val="21"/>
          <w:highlight w:val="none"/>
        </w:rPr>
        <w:t xml:space="preserve">（6）提供虚假材料谋取成交的； </w:t>
      </w:r>
    </w:p>
    <w:p>
      <w:pPr>
        <w:spacing w:line="360" w:lineRule="auto"/>
        <w:ind w:left="420"/>
        <w:rPr>
          <w:rFonts w:ascii="宋体" w:hAnsi="宋体" w:cs="宋体"/>
          <w:color w:val="000000"/>
          <w:szCs w:val="21"/>
          <w:highlight w:val="none"/>
        </w:rPr>
      </w:pPr>
      <w:r>
        <w:rPr>
          <w:rFonts w:hint="eastAsia" w:ascii="宋体" w:hAnsi="宋体" w:cs="宋体"/>
          <w:color w:val="000000"/>
          <w:szCs w:val="21"/>
          <w:highlight w:val="none"/>
        </w:rPr>
        <w:t xml:space="preserve">（7）采取不正当手段诋毁、排挤其他供应商的； </w:t>
      </w:r>
    </w:p>
    <w:p>
      <w:pPr>
        <w:spacing w:line="360" w:lineRule="auto"/>
        <w:ind w:left="420"/>
        <w:rPr>
          <w:rFonts w:ascii="宋体" w:hAnsi="宋体" w:cs="宋体"/>
          <w:color w:val="000000"/>
          <w:szCs w:val="21"/>
          <w:highlight w:val="none"/>
        </w:rPr>
      </w:pPr>
      <w:r>
        <w:rPr>
          <w:rFonts w:hint="eastAsia" w:ascii="宋体" w:hAnsi="宋体" w:cs="宋体"/>
          <w:color w:val="000000"/>
          <w:szCs w:val="21"/>
          <w:highlight w:val="none"/>
        </w:rPr>
        <w:t xml:space="preserve">（8）与采购单位、其他谈判响应人恶意串通的； </w:t>
      </w:r>
    </w:p>
    <w:p>
      <w:pPr>
        <w:spacing w:line="360" w:lineRule="auto"/>
        <w:ind w:left="42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9</w:t>
      </w:r>
      <w:r>
        <w:rPr>
          <w:rFonts w:hint="eastAsia" w:ascii="宋体" w:hAnsi="宋体" w:cs="宋体"/>
          <w:color w:val="000000"/>
          <w:szCs w:val="21"/>
          <w:highlight w:val="none"/>
        </w:rPr>
        <w:t>）视为谈判响应人串通投标的；</w:t>
      </w:r>
    </w:p>
    <w:p>
      <w:pPr>
        <w:spacing w:line="360" w:lineRule="auto"/>
        <w:ind w:left="42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10</w:t>
      </w:r>
      <w:r>
        <w:rPr>
          <w:rFonts w:hint="eastAsia" w:ascii="宋体" w:hAnsi="宋体" w:cs="宋体"/>
          <w:color w:val="000000"/>
          <w:szCs w:val="21"/>
          <w:highlight w:val="none"/>
        </w:rPr>
        <w:t xml:space="preserve">）向采购单位行贿或者提供其他不正当利益的； </w:t>
      </w:r>
    </w:p>
    <w:p>
      <w:pPr>
        <w:spacing w:line="360" w:lineRule="auto"/>
        <w:ind w:left="42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1</w:t>
      </w:r>
      <w:r>
        <w:rPr>
          <w:rFonts w:hint="eastAsia" w:ascii="宋体" w:hAnsi="宋体" w:cs="宋体"/>
          <w:color w:val="000000"/>
          <w:szCs w:val="21"/>
          <w:highlight w:val="none"/>
        </w:rPr>
        <w:t xml:space="preserve">）在竞争性谈判采购过程中与采购人进行协商谈判、不按照竞争性谈判文件和成交人的谈判响应文件订立合同，或者与采购人另行订立背离合同实质性内容的协议； </w:t>
      </w:r>
    </w:p>
    <w:p>
      <w:pPr>
        <w:spacing w:line="360" w:lineRule="auto"/>
        <w:ind w:left="42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2</w:t>
      </w:r>
      <w:r>
        <w:rPr>
          <w:rFonts w:hint="eastAsia" w:ascii="宋体" w:hAnsi="宋体" w:cs="宋体"/>
          <w:color w:val="000000"/>
          <w:szCs w:val="21"/>
          <w:highlight w:val="none"/>
        </w:rPr>
        <w:t>）拒绝有关部门监督检查或者提供虚假情况的；</w:t>
      </w:r>
    </w:p>
    <w:p>
      <w:pPr>
        <w:spacing w:line="360" w:lineRule="auto"/>
        <w:ind w:left="420"/>
        <w:rPr>
          <w:rFonts w:ascii="宋体" w:hAnsi="宋体" w:cs="宋体"/>
          <w:color w:val="000000"/>
          <w:szCs w:val="21"/>
          <w:highlight w:val="none"/>
        </w:rPr>
      </w:pPr>
      <w:r>
        <w:rPr>
          <w:rFonts w:hint="eastAsia" w:ascii="宋体" w:hAnsi="宋体"/>
          <w:szCs w:val="21"/>
          <w:highlight w:val="none"/>
        </w:rPr>
        <w:t>（1</w:t>
      </w:r>
      <w:r>
        <w:rPr>
          <w:rFonts w:ascii="宋体" w:hAnsi="宋体"/>
          <w:szCs w:val="21"/>
          <w:highlight w:val="none"/>
        </w:rPr>
        <w:t>3</w:t>
      </w:r>
      <w:r>
        <w:rPr>
          <w:rFonts w:hint="eastAsia" w:ascii="宋体" w:hAnsi="宋体"/>
          <w:szCs w:val="21"/>
          <w:highlight w:val="none"/>
        </w:rPr>
        <w:t>）受到</w:t>
      </w:r>
      <w:r>
        <w:rPr>
          <w:rFonts w:ascii="宋体" w:hAnsi="宋体"/>
          <w:szCs w:val="21"/>
          <w:highlight w:val="none"/>
        </w:rPr>
        <w:t>财政部门依法</w:t>
      </w:r>
      <w:r>
        <w:rPr>
          <w:rFonts w:hint="eastAsia" w:ascii="宋体" w:hAnsi="宋体"/>
          <w:szCs w:val="21"/>
          <w:highlight w:val="none"/>
        </w:rPr>
        <w:t>作出的</w:t>
      </w:r>
      <w:r>
        <w:rPr>
          <w:rFonts w:ascii="宋体" w:hAnsi="宋体"/>
          <w:szCs w:val="21"/>
          <w:highlight w:val="none"/>
        </w:rPr>
        <w:t>禁止参加政府采购活动</w:t>
      </w:r>
      <w:r>
        <w:rPr>
          <w:rFonts w:hint="eastAsia" w:ascii="宋体" w:hAnsi="宋体"/>
          <w:szCs w:val="21"/>
          <w:highlight w:val="none"/>
        </w:rPr>
        <w:t>且在有效期内的</w:t>
      </w:r>
      <w:r>
        <w:rPr>
          <w:rFonts w:ascii="宋体" w:hAnsi="宋体"/>
          <w:szCs w:val="21"/>
          <w:highlight w:val="none"/>
        </w:rPr>
        <w:t>行政处罚</w:t>
      </w:r>
      <w:r>
        <w:rPr>
          <w:rFonts w:hint="eastAsia" w:ascii="宋体" w:hAnsi="宋体"/>
          <w:szCs w:val="21"/>
          <w:highlight w:val="none"/>
        </w:rPr>
        <w:t>；</w:t>
      </w:r>
    </w:p>
    <w:p>
      <w:pPr>
        <w:spacing w:line="360" w:lineRule="auto"/>
        <w:ind w:left="420"/>
        <w:rPr>
          <w:rFonts w:ascii="宋体" w:hAnsi="宋体" w:cs="宋体"/>
          <w:color w:val="000000"/>
          <w:szCs w:val="21"/>
          <w:highlight w:val="none"/>
        </w:rPr>
      </w:pPr>
      <w:r>
        <w:rPr>
          <w:rFonts w:hint="eastAsia" w:ascii="宋体" w:hAnsi="宋体"/>
          <w:szCs w:val="21"/>
          <w:highlight w:val="none"/>
        </w:rPr>
        <w:t>（1</w:t>
      </w:r>
      <w:r>
        <w:rPr>
          <w:rFonts w:ascii="宋体" w:hAnsi="宋体"/>
          <w:szCs w:val="21"/>
          <w:highlight w:val="none"/>
        </w:rPr>
        <w:t>4</w:t>
      </w:r>
      <w:r>
        <w:rPr>
          <w:rFonts w:hint="eastAsia" w:ascii="宋体" w:hAnsi="宋体"/>
          <w:szCs w:val="21"/>
          <w:highlight w:val="none"/>
        </w:rPr>
        <w:t>）</w:t>
      </w:r>
      <w:r>
        <w:rPr>
          <w:rFonts w:hint="eastAsia" w:ascii="宋体" w:hAnsi="宋体" w:cs="宋体"/>
          <w:color w:val="000000"/>
          <w:szCs w:val="21"/>
          <w:highlight w:val="none"/>
        </w:rPr>
        <w:t>法律、法规规定及竞争性谈判文件约定的其他情形。</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谈判响应人上述行为给采购人造成的损失，谈判响应人应当予以赔偿。</w:t>
      </w:r>
    </w:p>
    <w:p>
      <w:pPr>
        <w:spacing w:line="360" w:lineRule="auto"/>
        <w:ind w:firstLine="420" w:firstLineChars="200"/>
        <w:rPr>
          <w:rFonts w:ascii="宋体" w:hAnsi="宋体"/>
          <w:szCs w:val="21"/>
          <w:highlight w:val="none"/>
        </w:rPr>
      </w:pPr>
      <w:r>
        <w:rPr>
          <w:rFonts w:hint="eastAsia" w:ascii="宋体" w:hAnsi="宋体"/>
          <w:szCs w:val="21"/>
          <w:highlight w:val="none"/>
        </w:rPr>
        <w:t>14.</w:t>
      </w:r>
      <w:r>
        <w:rPr>
          <w:rFonts w:hint="default" w:ascii="宋体" w:hAnsi="宋体"/>
          <w:szCs w:val="21"/>
          <w:highlight w:val="none"/>
          <w:lang w:val="en-US"/>
        </w:rPr>
        <w:t>2</w:t>
      </w:r>
      <w:r>
        <w:rPr>
          <w:rFonts w:hint="eastAsia" w:ascii="宋体" w:hAnsi="宋体"/>
          <w:szCs w:val="21"/>
          <w:highlight w:val="none"/>
        </w:rPr>
        <w:t>、有下列情形之一的，视为谈判响应人串通投标，其谈判响应无效：</w:t>
      </w:r>
    </w:p>
    <w:p>
      <w:pPr>
        <w:spacing w:line="360" w:lineRule="auto"/>
        <w:ind w:firstLine="420" w:firstLineChars="200"/>
        <w:rPr>
          <w:rFonts w:ascii="宋体" w:hAnsi="宋体"/>
          <w:szCs w:val="21"/>
          <w:highlight w:val="none"/>
        </w:rPr>
      </w:pPr>
      <w:r>
        <w:rPr>
          <w:rFonts w:hint="eastAsia" w:ascii="宋体" w:hAnsi="宋体"/>
          <w:szCs w:val="21"/>
          <w:highlight w:val="none"/>
        </w:rPr>
        <w:t>（1）不同谈判响应人的谈判响应文件由同一单位或者个人编制；</w:t>
      </w:r>
    </w:p>
    <w:p>
      <w:pPr>
        <w:spacing w:line="360" w:lineRule="auto"/>
        <w:ind w:firstLine="420" w:firstLineChars="200"/>
        <w:rPr>
          <w:rFonts w:ascii="宋体" w:hAnsi="宋体"/>
          <w:szCs w:val="21"/>
          <w:highlight w:val="none"/>
        </w:rPr>
      </w:pPr>
      <w:r>
        <w:rPr>
          <w:rFonts w:hint="eastAsia" w:ascii="宋体" w:hAnsi="宋体"/>
          <w:szCs w:val="21"/>
          <w:highlight w:val="none"/>
        </w:rPr>
        <w:t>（2）不同谈判响应人委托同一单位或者个人办理谈判响应事宜；</w:t>
      </w:r>
    </w:p>
    <w:p>
      <w:pPr>
        <w:spacing w:line="360" w:lineRule="auto"/>
        <w:ind w:firstLine="420" w:firstLineChars="200"/>
        <w:rPr>
          <w:rFonts w:ascii="宋体" w:hAnsi="宋体"/>
          <w:szCs w:val="21"/>
          <w:highlight w:val="none"/>
        </w:rPr>
      </w:pPr>
      <w:r>
        <w:rPr>
          <w:rFonts w:hint="eastAsia" w:ascii="宋体" w:hAnsi="宋体"/>
          <w:szCs w:val="21"/>
          <w:highlight w:val="none"/>
        </w:rPr>
        <w:t>（3）不同谈判响应人的谈判响应文件载明的项目管理成员或联系人员为同一人；</w:t>
      </w:r>
    </w:p>
    <w:p>
      <w:pPr>
        <w:spacing w:line="360" w:lineRule="auto"/>
        <w:ind w:firstLine="420" w:firstLineChars="200"/>
        <w:rPr>
          <w:rFonts w:ascii="宋体" w:hAnsi="宋体"/>
          <w:szCs w:val="21"/>
          <w:highlight w:val="none"/>
        </w:rPr>
      </w:pPr>
      <w:r>
        <w:rPr>
          <w:rFonts w:hint="eastAsia" w:ascii="宋体" w:hAnsi="宋体"/>
          <w:szCs w:val="21"/>
          <w:highlight w:val="none"/>
        </w:rPr>
        <w:t>（4）不同谈判响应人的谈判响应文件异常一致或者谈判响应报价呈规律性差异；</w:t>
      </w:r>
    </w:p>
    <w:p>
      <w:pPr>
        <w:spacing w:line="360" w:lineRule="auto"/>
        <w:ind w:firstLine="420" w:firstLineChars="200"/>
        <w:rPr>
          <w:rFonts w:ascii="宋体" w:hAnsi="宋体"/>
          <w:szCs w:val="21"/>
          <w:highlight w:val="none"/>
        </w:rPr>
      </w:pPr>
      <w:r>
        <w:rPr>
          <w:rFonts w:hint="eastAsia" w:ascii="宋体" w:hAnsi="宋体"/>
          <w:szCs w:val="21"/>
          <w:highlight w:val="none"/>
        </w:rPr>
        <w:t>（5）不同谈判响应人的谈判响应文件相互混装；</w:t>
      </w:r>
    </w:p>
    <w:p>
      <w:pPr>
        <w:spacing w:line="360" w:lineRule="auto"/>
        <w:ind w:firstLine="420" w:firstLineChars="200"/>
        <w:rPr>
          <w:rFonts w:ascii="宋体" w:hAnsi="宋体" w:cs="宋体"/>
          <w:b/>
          <w:color w:val="000000"/>
          <w:szCs w:val="21"/>
          <w:highlight w:val="none"/>
        </w:rPr>
      </w:pPr>
      <w:r>
        <w:rPr>
          <w:rFonts w:hint="eastAsia" w:ascii="宋体" w:hAnsi="宋体" w:cs="宋体"/>
          <w:color w:val="000000"/>
          <w:szCs w:val="21"/>
          <w:highlight w:val="none"/>
        </w:rPr>
        <w:t>14.</w:t>
      </w:r>
      <w:r>
        <w:rPr>
          <w:rFonts w:hint="default" w:ascii="宋体" w:hAnsi="宋体" w:cs="宋体"/>
          <w:color w:val="000000"/>
          <w:szCs w:val="21"/>
          <w:highlight w:val="none"/>
          <w:lang w:val="en-US"/>
        </w:rPr>
        <w:t>3</w:t>
      </w:r>
      <w:r>
        <w:rPr>
          <w:rFonts w:hint="eastAsia" w:ascii="宋体" w:hAnsi="宋体" w:cs="宋体"/>
          <w:color w:val="000000"/>
          <w:szCs w:val="21"/>
          <w:highlight w:val="none"/>
        </w:rPr>
        <w:t>、</w:t>
      </w:r>
      <w:r>
        <w:rPr>
          <w:rFonts w:hint="eastAsia" w:ascii="宋体" w:hAnsi="宋体" w:cs="宋体"/>
          <w:b/>
          <w:color w:val="000000"/>
          <w:szCs w:val="21"/>
          <w:highlight w:val="none"/>
        </w:rPr>
        <w:t>谈判响应人在本项目竞争性谈判过程中有下列行为之一的，成交无效，给采购人造成的损失，谈判响应人还应予以赔偿。构成犯罪的，依法追究刑事责任。</w:t>
      </w:r>
    </w:p>
    <w:p>
      <w:pPr>
        <w:widowControl/>
        <w:spacing w:line="500" w:lineRule="exact"/>
        <w:ind w:firstLine="420" w:firstLineChars="200"/>
        <w:jc w:val="left"/>
        <w:rPr>
          <w:rFonts w:ascii="宋体" w:hAnsi="宋体" w:cs="宋体"/>
          <w:color w:val="000000"/>
          <w:highlight w:val="none"/>
        </w:rPr>
      </w:pPr>
      <w:r>
        <w:rPr>
          <w:rFonts w:hint="eastAsia" w:ascii="宋体" w:hAnsi="宋体" w:cs="宋体"/>
          <w:color w:val="000000"/>
          <w:highlight w:val="none"/>
        </w:rPr>
        <w:t>（1）成交后无正当理由不与采购单位签订合同的；</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highlight w:val="none"/>
        </w:rPr>
        <w:t>（2）</w:t>
      </w:r>
      <w:r>
        <w:rPr>
          <w:rFonts w:hint="eastAsia" w:ascii="宋体" w:hAnsi="宋体" w:cs="宋体"/>
          <w:color w:val="000000"/>
          <w:szCs w:val="21"/>
          <w:highlight w:val="none"/>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（3）将成交项目转让给他人、或在谈判响应文件中未说明，将成交项目分包给他人的；</w:t>
      </w:r>
    </w:p>
    <w:p>
      <w:pPr>
        <w:spacing w:line="360" w:lineRule="auto"/>
        <w:ind w:firstLine="420" w:firstLineChars="200"/>
        <w:rPr>
          <w:rFonts w:ascii="宋体" w:hAnsi="宋体" w:cs="宋体"/>
          <w:color w:val="000000"/>
          <w:highlight w:val="none"/>
        </w:rPr>
      </w:pPr>
      <w:r>
        <w:rPr>
          <w:rFonts w:hint="eastAsia" w:ascii="宋体" w:hAnsi="宋体" w:cs="宋体"/>
          <w:color w:val="000000"/>
          <w:highlight w:val="none"/>
        </w:rPr>
        <w:t>（4）</w:t>
      </w:r>
      <w:r>
        <w:rPr>
          <w:rFonts w:hint="eastAsia" w:ascii="宋体" w:hAnsi="宋体" w:cs="宋体"/>
          <w:color w:val="000000"/>
          <w:szCs w:val="21"/>
          <w:highlight w:val="none"/>
        </w:rPr>
        <w:t>谈判响应人相互串通或者与采购人串通的；</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（5）谈判响应人以向采购人或者谈判小组成员行贿的手段谋取成交的；</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（6）谈判响应人以他人名义谈判响应或者以其他方式弄虚作假，骗取成交的；</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（7）违法与采购人就价格、方案等实质性内容进行谈判，影响成交结果的；</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（8）法律、法规规定及竞争性谈判文件约定的其他情形。</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15、谈判响应有效期</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15.1、谈判响应有效期见“谈判响应人须知前附表”的约定。</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15.2、在谈判响应有效期内，谈判响应人不得要求撤销或修改其谈判响应文件。</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pStyle w:val="13"/>
        <w:spacing w:line="360" w:lineRule="exact"/>
        <w:ind w:firstLine="422" w:firstLineChars="200"/>
        <w:rPr>
          <w:rFonts w:hAnsi="宋体" w:cs="宋体"/>
          <w:b/>
          <w:color w:val="000000"/>
          <w:szCs w:val="21"/>
          <w:highlight w:val="none"/>
        </w:rPr>
      </w:pPr>
      <w:r>
        <w:rPr>
          <w:rFonts w:hint="eastAsia" w:hAnsi="宋体" w:cs="宋体"/>
          <w:b/>
          <w:color w:val="000000"/>
          <w:szCs w:val="21"/>
          <w:highlight w:val="none"/>
        </w:rPr>
        <w:t>16、谈判响应文件的签署</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16.1、谈判响应人应按竞争性谈判文件约定的格式，编制并提交谈判响应文件。</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16.2、谈判响应文件应由谈判响应人的法定代表人加盖印章，并加盖谈判响应人公章。委托代理人须将法定代表人出具的“法定代表人授权委托书”及其身份证复印件附在谈判响应文件中。</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16.3、谈判响应文件不得行间插字、涂改或增删。</w:t>
      </w:r>
    </w:p>
    <w:p>
      <w:pPr>
        <w:widowControl/>
        <w:spacing w:line="500" w:lineRule="exact"/>
        <w:ind w:firstLine="420" w:firstLineChars="200"/>
        <w:jc w:val="left"/>
        <w:rPr>
          <w:rFonts w:ascii="宋体" w:hAnsi="宋体" w:cs="宋体"/>
          <w:b/>
          <w:bCs/>
          <w:color w:val="000000" w:themeColor="text1"/>
          <w:szCs w:val="21"/>
          <w:highlight w:val="none"/>
        </w:rPr>
      </w:pPr>
      <w:r>
        <w:rPr>
          <w:rFonts w:hint="eastAsia" w:ascii="宋体" w:hAnsi="宋体" w:cs="宋体"/>
          <w:color w:val="000000"/>
          <w:szCs w:val="21"/>
          <w:highlight w:val="none"/>
        </w:rPr>
        <w:t>16.4、</w:t>
      </w:r>
      <w:r>
        <w:rPr>
          <w:rFonts w:hint="eastAsia" w:ascii="宋体" w:hAnsi="宋体" w:cs="宋体"/>
          <w:b/>
          <w:color w:val="000000" w:themeColor="text1"/>
          <w:highlight w:val="none"/>
        </w:rPr>
        <w:t>谈判响应文件封面、谈判响应函、服务报价表（首轮）、最终报价表、服务内容及质量要求响应表均应加盖谈判响应人公章并经法定代表人</w:t>
      </w:r>
      <w:r>
        <w:rPr>
          <w:rFonts w:hint="eastAsia" w:ascii="宋体" w:hAnsi="宋体" w:cs="宋体"/>
          <w:b/>
          <w:color w:val="000000" w:themeColor="text1"/>
          <w:highlight w:val="none"/>
          <w:lang w:eastAsia="zh-CN"/>
        </w:rPr>
        <w:t>（</w:t>
      </w:r>
      <w:r>
        <w:rPr>
          <w:rFonts w:hint="eastAsia" w:ascii="宋体" w:hAnsi="宋体" w:cs="宋体"/>
          <w:b/>
          <w:color w:val="000000" w:themeColor="text1"/>
          <w:highlight w:val="none"/>
          <w:lang w:val="en-US" w:eastAsia="zh-CN"/>
        </w:rPr>
        <w:t>或授权委托人</w:t>
      </w:r>
      <w:r>
        <w:rPr>
          <w:rFonts w:hint="eastAsia" w:ascii="宋体" w:hAnsi="宋体" w:cs="宋体"/>
          <w:b/>
          <w:color w:val="000000" w:themeColor="text1"/>
          <w:highlight w:val="none"/>
          <w:lang w:eastAsia="zh-CN"/>
        </w:rPr>
        <w:t>）</w:t>
      </w:r>
      <w:r>
        <w:rPr>
          <w:rFonts w:hint="eastAsia" w:ascii="宋体" w:hAnsi="宋体" w:cs="宋体"/>
          <w:b/>
          <w:color w:val="000000" w:themeColor="text1"/>
          <w:highlight w:val="none"/>
          <w:lang w:val="en-US" w:eastAsia="zh-CN"/>
        </w:rPr>
        <w:t>签字（或盖章）</w:t>
      </w:r>
      <w:r>
        <w:rPr>
          <w:rFonts w:hint="eastAsia" w:ascii="宋体" w:hAnsi="宋体" w:cs="宋体"/>
          <w:b/>
          <w:color w:val="000000" w:themeColor="text1"/>
          <w:highlight w:val="none"/>
        </w:rPr>
        <w:t>。</w:t>
      </w:r>
      <w:r>
        <w:rPr>
          <w:rFonts w:hint="eastAsia" w:ascii="宋体" w:hAnsi="宋体" w:cs="宋体"/>
          <w:color w:val="000000" w:themeColor="text1"/>
          <w:highlight w:val="none"/>
        </w:rPr>
        <w:t>由委托代理人参加谈判活动的在谈判响应文件中须同时提交法定代表人授权委托书。</w:t>
      </w:r>
      <w:r>
        <w:rPr>
          <w:rFonts w:hint="eastAsia" w:ascii="宋体" w:hAnsi="宋体" w:cs="宋体"/>
          <w:b/>
          <w:color w:val="000000" w:themeColor="text1"/>
          <w:spacing w:val="-2"/>
          <w:highlight w:val="none"/>
        </w:rPr>
        <w:t>谈判响应文件封面、谈判响应函及服务报价表（首轮）、最终报价表、</w:t>
      </w:r>
      <w:r>
        <w:rPr>
          <w:rFonts w:hint="eastAsia" w:ascii="宋体" w:hAnsi="宋体" w:cs="宋体"/>
          <w:b/>
          <w:color w:val="000000" w:themeColor="text1"/>
          <w:highlight w:val="none"/>
        </w:rPr>
        <w:t>服务内容及质量要求响应表、法定代表人授权委托书的签字或盖章</w:t>
      </w:r>
      <w:r>
        <w:rPr>
          <w:rFonts w:hint="eastAsia" w:ascii="宋体" w:hAnsi="宋体" w:cs="宋体"/>
          <w:b/>
          <w:color w:val="000000" w:themeColor="text1"/>
          <w:spacing w:val="-2"/>
          <w:highlight w:val="none"/>
        </w:rPr>
        <w:t>不符合谈判文件要求的，谈判小组可要求其法定代表人或其委托的委托代理人补齐签字或承诺在签订合同前按照谈判文件要求加盖印章。</w:t>
      </w:r>
    </w:p>
    <w:p>
      <w:pPr>
        <w:pStyle w:val="8"/>
        <w:numPr>
          <w:ilvl w:val="0"/>
          <w:numId w:val="2"/>
        </w:numPr>
        <w:ind w:firstLine="472" w:firstLineChars="196"/>
        <w:rPr>
          <w:rFonts w:hAnsi="宋体" w:cs="宋体"/>
          <w:color w:val="000000"/>
          <w:highlight w:val="none"/>
        </w:rPr>
      </w:pPr>
      <w:bookmarkStart w:id="16" w:name="_Toc55202314"/>
      <w:bookmarkStart w:id="17" w:name="_Toc25319"/>
      <w:r>
        <w:rPr>
          <w:rFonts w:hint="eastAsia" w:hAnsi="宋体" w:cs="宋体"/>
          <w:color w:val="000000"/>
          <w:highlight w:val="none"/>
        </w:rPr>
        <w:t>谈判响应文件的提交</w:t>
      </w:r>
      <w:bookmarkEnd w:id="16"/>
      <w:bookmarkEnd w:id="17"/>
    </w:p>
    <w:p>
      <w:pPr>
        <w:numPr>
          <w:ilvl w:val="0"/>
          <w:numId w:val="0"/>
        </w:num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color w:val="auto"/>
          <w:kern w:val="2"/>
          <w:sz w:val="21"/>
          <w:szCs w:val="21"/>
          <w:highlight w:val="none"/>
          <w:lang w:val="en-US" w:eastAsia="zh-CN" w:bidi="ar-SA"/>
        </w:rPr>
        <w:t>谈判响应文件的的提交本次竞争性谈判不要求谈判响应人提供纸质版谈判响应文件，谈判响应人制作完成并加盖谈判响应人公章（PDF等不可编辑的电子文件）后应对谈判响应文件进行文档加密。谈判响应人应在竞争性谈判文件截止时间前30分钟内将加密文件电子档密码发至</w:t>
      </w:r>
      <w:r>
        <w:rPr>
          <w:rFonts w:hint="eastAsia" w:ascii="宋体" w:hAnsi="宋体" w:cs="宋体"/>
          <w:color w:val="auto"/>
          <w:kern w:val="2"/>
          <w:sz w:val="21"/>
          <w:szCs w:val="21"/>
          <w:highlight w:val="none"/>
          <w:lang w:val="en-US" w:eastAsia="zh-CN" w:bidi="ar-SA"/>
        </w:rPr>
        <w:t>2946607994</w:t>
      </w:r>
      <w:r>
        <w:rPr>
          <w:rFonts w:hint="eastAsia" w:ascii="宋体" w:hAnsi="宋体" w:eastAsia="宋体" w:cs="宋体"/>
          <w:color w:val="auto"/>
          <w:kern w:val="2"/>
          <w:sz w:val="21"/>
          <w:szCs w:val="21"/>
          <w:highlight w:val="none"/>
          <w:lang w:val="en-US" w:eastAsia="zh-CN" w:bidi="ar-SA"/>
        </w:rPr>
        <w:t>@qq.com邮箱。</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19、谈判响应文件的修改与撤回</w:t>
      </w:r>
    </w:p>
    <w:p>
      <w:pPr>
        <w:widowControl/>
        <w:spacing w:line="500" w:lineRule="exact"/>
        <w:ind w:firstLine="420" w:firstLineChars="200"/>
        <w:jc w:val="left"/>
        <w:rPr>
          <w:rFonts w:hint="default" w:ascii="宋体" w:hAnsi="宋体" w:eastAsia="宋体" w:cs="宋体"/>
          <w:color w:val="auto"/>
          <w:szCs w:val="21"/>
          <w:highlight w:val="none"/>
          <w:lang w:val="en-US" w:eastAsia="zh-CN"/>
        </w:rPr>
      </w:pPr>
      <w:bookmarkStart w:id="18" w:name="_Toc23598"/>
      <w:bookmarkStart w:id="19" w:name="_Toc55202315"/>
      <w:r>
        <w:rPr>
          <w:rFonts w:hint="eastAsia" w:ascii="宋体" w:hAnsi="宋体" w:cs="宋体"/>
          <w:color w:val="auto"/>
          <w:szCs w:val="21"/>
          <w:highlight w:val="none"/>
        </w:rPr>
        <w:t>19.1、</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在提交</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文件以后，在规定的</w:t>
      </w:r>
      <w:r>
        <w:rPr>
          <w:rFonts w:hint="eastAsia" w:ascii="宋体" w:hAnsi="宋体" w:cs="宋体"/>
          <w:color w:val="auto"/>
          <w:szCs w:val="21"/>
          <w:highlight w:val="none"/>
          <w:lang w:val="en-US" w:eastAsia="zh-CN"/>
        </w:rPr>
        <w:t>响应文件</w:t>
      </w:r>
      <w:r>
        <w:rPr>
          <w:rFonts w:hint="eastAsia" w:ascii="宋体" w:hAnsi="宋体" w:cs="宋体"/>
          <w:color w:val="auto"/>
          <w:szCs w:val="21"/>
          <w:highlight w:val="none"/>
        </w:rPr>
        <w:t>截止时间之前，可以以</w:t>
      </w:r>
      <w:r>
        <w:rPr>
          <w:rFonts w:hint="eastAsia" w:ascii="宋体" w:hAnsi="宋体" w:cs="宋体"/>
          <w:color w:val="auto"/>
          <w:szCs w:val="21"/>
          <w:highlight w:val="none"/>
          <w:lang w:val="en-US" w:eastAsia="zh-CN"/>
        </w:rPr>
        <w:t>电子</w:t>
      </w:r>
      <w:r>
        <w:rPr>
          <w:rFonts w:hint="eastAsia" w:ascii="宋体" w:hAnsi="宋体" w:cs="宋体"/>
          <w:color w:val="auto"/>
          <w:szCs w:val="21"/>
          <w:highlight w:val="none"/>
        </w:rPr>
        <w:t>形式补充、修改或撤回已提交的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文件，并以</w:t>
      </w:r>
      <w:r>
        <w:rPr>
          <w:rFonts w:hint="eastAsia" w:ascii="宋体" w:hAnsi="宋体" w:cs="宋体"/>
          <w:color w:val="auto"/>
          <w:szCs w:val="21"/>
          <w:highlight w:val="none"/>
          <w:lang w:val="en-US" w:eastAsia="zh-CN"/>
        </w:rPr>
        <w:t>电子</w:t>
      </w:r>
      <w:r>
        <w:rPr>
          <w:rFonts w:hint="eastAsia" w:ascii="宋体" w:hAnsi="宋体" w:cs="宋体"/>
          <w:color w:val="auto"/>
          <w:szCs w:val="21"/>
          <w:highlight w:val="none"/>
        </w:rPr>
        <w:t>形式通知</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人。补充、修改的内容为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文件的组成部分。</w:t>
      </w:r>
      <w:r>
        <w:rPr>
          <w:rFonts w:hint="eastAsia" w:ascii="宋体" w:hAnsi="宋体" w:cs="宋体"/>
          <w:color w:val="auto"/>
          <w:szCs w:val="21"/>
          <w:highlight w:val="none"/>
          <w:lang w:val="en-US" w:eastAsia="zh-CN"/>
        </w:rPr>
        <w:t xml:space="preserve">                                    </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、在规定的响应文件截止时间之后，</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不得补充、修改</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w:t>
      </w:r>
    </w:p>
    <w:p>
      <w:pPr>
        <w:pStyle w:val="8"/>
        <w:ind w:firstLine="472" w:firstLineChars="196"/>
        <w:rPr>
          <w:rFonts w:hAnsi="宋体" w:cs="宋体"/>
          <w:color w:val="000000"/>
          <w:highlight w:val="none"/>
        </w:rPr>
      </w:pPr>
      <w:r>
        <w:rPr>
          <w:rFonts w:hint="eastAsia" w:hAnsi="宋体" w:cs="宋体"/>
          <w:color w:val="000000"/>
          <w:highlight w:val="none"/>
        </w:rPr>
        <w:t>五、</w:t>
      </w:r>
      <w:bookmarkEnd w:id="18"/>
      <w:r>
        <w:rPr>
          <w:rFonts w:hint="eastAsia" w:hAnsi="宋体" w:cs="宋体"/>
          <w:color w:val="000000"/>
          <w:highlight w:val="none"/>
        </w:rPr>
        <w:t>谈判程序</w:t>
      </w:r>
      <w:bookmarkEnd w:id="19"/>
    </w:p>
    <w:p>
      <w:pPr>
        <w:widowControl/>
        <w:spacing w:line="500" w:lineRule="exact"/>
        <w:ind w:firstLine="422" w:firstLineChars="200"/>
        <w:jc w:val="left"/>
        <w:rPr>
          <w:rFonts w:ascii="宋体" w:hAnsi="宋体" w:cs="宋体"/>
          <w:color w:val="000000"/>
          <w:szCs w:val="21"/>
          <w:highlight w:val="none"/>
        </w:rPr>
      </w:pPr>
      <w:r>
        <w:rPr>
          <w:rFonts w:hint="eastAsia" w:ascii="宋体" w:hAnsi="宋体" w:cs="宋体"/>
          <w:b/>
          <w:bCs/>
          <w:color w:val="000000"/>
          <w:szCs w:val="21"/>
          <w:highlight w:val="none"/>
        </w:rPr>
        <w:t>20、谈判时间和地点：</w:t>
      </w:r>
      <w:r>
        <w:rPr>
          <w:rFonts w:hint="eastAsia" w:ascii="宋体" w:hAnsi="宋体" w:cs="宋体"/>
          <w:color w:val="000000"/>
          <w:szCs w:val="21"/>
          <w:highlight w:val="none"/>
        </w:rPr>
        <w:t>采购单位将在“谈判响应人须知前附表”约定的时间和地点谈判。</w:t>
      </w:r>
    </w:p>
    <w:p>
      <w:pPr>
        <w:widowControl/>
        <w:spacing w:line="500" w:lineRule="exact"/>
        <w:ind w:firstLine="422" w:firstLineChars="200"/>
        <w:jc w:val="left"/>
        <w:rPr>
          <w:rFonts w:ascii="宋体" w:hAnsi="宋体" w:cs="宋体"/>
          <w:color w:val="000000"/>
          <w:szCs w:val="21"/>
          <w:highlight w:val="none"/>
        </w:rPr>
      </w:pPr>
      <w:r>
        <w:rPr>
          <w:rFonts w:hint="eastAsia" w:ascii="宋体" w:hAnsi="宋体" w:cs="宋体"/>
          <w:b/>
          <w:bCs/>
          <w:color w:val="000000"/>
          <w:szCs w:val="21"/>
          <w:highlight w:val="none"/>
        </w:rPr>
        <w:t>21、谈判程序</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21.1、谈判由采购单位代表主持，主持人按下列程序进行：</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21.1.1、宣布项目名称、介绍参会人员；</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21.1.2、宣布开标纪律；</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21.1.5</w:t>
      </w:r>
      <w:r>
        <w:rPr>
          <w:rFonts w:hint="eastAsia" w:ascii="宋体" w:hAnsi="宋体" w:cs="宋体"/>
          <w:color w:val="auto"/>
          <w:szCs w:val="21"/>
          <w:highlight w:val="none"/>
          <w:lang w:eastAsia="zh-CN"/>
        </w:rPr>
        <w:t>、</w:t>
      </w:r>
      <w:r>
        <w:rPr>
          <w:rFonts w:hint="eastAsia" w:ascii="宋体" w:hAnsi="宋体" w:cs="宋体"/>
          <w:color w:val="auto"/>
          <w:szCs w:val="21"/>
          <w:highlight w:val="none"/>
        </w:rPr>
        <w:t>现场开启</w:t>
      </w:r>
      <w:r>
        <w:rPr>
          <w:rFonts w:hint="eastAsia" w:ascii="宋体" w:hAnsi="宋体" w:cs="宋体"/>
          <w:color w:val="auto"/>
          <w:szCs w:val="21"/>
          <w:highlight w:val="none"/>
          <w:lang w:val="en-US" w:eastAsia="zh-CN"/>
        </w:rPr>
        <w:t>电子</w:t>
      </w:r>
      <w:r>
        <w:rPr>
          <w:rFonts w:hint="eastAsia" w:ascii="宋体" w:hAnsi="宋体" w:cs="宋体"/>
          <w:color w:val="auto"/>
          <w:szCs w:val="21"/>
          <w:highlight w:val="none"/>
        </w:rPr>
        <w:t>响应文件；</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采购人代表、记录人等有关</w:t>
      </w:r>
      <w:r>
        <w:rPr>
          <w:rFonts w:hint="eastAsia" w:ascii="宋体" w:hAnsi="宋体" w:cs="宋体"/>
          <w:color w:val="auto"/>
          <w:szCs w:val="21"/>
          <w:highlight w:val="none"/>
          <w:lang w:val="en-US" w:eastAsia="zh-CN"/>
        </w:rPr>
        <w:t>工作</w:t>
      </w:r>
      <w:r>
        <w:rPr>
          <w:rFonts w:hint="eastAsia" w:ascii="宋体" w:hAnsi="宋体" w:cs="宋体"/>
          <w:color w:val="auto"/>
          <w:szCs w:val="21"/>
          <w:highlight w:val="none"/>
        </w:rPr>
        <w:t>人员在开标记录表上签字确认；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暂时休会，进入评审阶段；</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谈判小组</w:t>
      </w:r>
      <w:r>
        <w:rPr>
          <w:rFonts w:hint="eastAsia" w:ascii="宋体" w:hAnsi="宋体" w:cs="宋体"/>
          <w:color w:val="auto"/>
          <w:szCs w:val="21"/>
          <w:highlight w:val="none"/>
          <w:lang w:val="en-US" w:eastAsia="zh-CN"/>
        </w:rPr>
        <w:t>通过电话</w:t>
      </w:r>
      <w:r>
        <w:rPr>
          <w:rFonts w:hint="eastAsia" w:ascii="宋体" w:hAnsi="宋体" w:cs="宋体"/>
          <w:color w:val="auto"/>
          <w:szCs w:val="21"/>
          <w:highlight w:val="none"/>
        </w:rPr>
        <w:t>与各个谈判响应人进行谈判；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各个谈判响应人进行最终报价；</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复会，宣布评审结果。</w:t>
      </w:r>
    </w:p>
    <w:p>
      <w:pPr>
        <w:widowControl/>
        <w:spacing w:line="360" w:lineRule="auto"/>
        <w:ind w:firstLine="422" w:firstLineChars="200"/>
        <w:jc w:val="left"/>
        <w:rPr>
          <w:rFonts w:ascii="宋体" w:hAnsi="宋体" w:cs="宋体"/>
          <w:color w:val="000000"/>
          <w:szCs w:val="21"/>
          <w:highlight w:val="none"/>
        </w:rPr>
      </w:pPr>
      <w:r>
        <w:rPr>
          <w:rFonts w:hint="eastAsia" w:ascii="宋体" w:hAnsi="宋体" w:cs="宋体"/>
          <w:b/>
          <w:bCs/>
          <w:color w:val="000000"/>
          <w:szCs w:val="21"/>
          <w:highlight w:val="none"/>
        </w:rPr>
        <w:t>22、谈判响应文件的有效性</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000000"/>
          <w:szCs w:val="21"/>
          <w:highlight w:val="none"/>
        </w:rPr>
        <w:t>22.1、</w:t>
      </w:r>
      <w:r>
        <w:rPr>
          <w:rFonts w:hint="eastAsia" w:ascii="宋体" w:hAnsi="宋体" w:cs="宋体"/>
          <w:color w:val="auto"/>
          <w:szCs w:val="21"/>
          <w:highlight w:val="none"/>
        </w:rPr>
        <w:t xml:space="preserve">谈判响应文件有下列情形之一的，将不予受理： </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（1）逾期</w:t>
      </w:r>
      <w:r>
        <w:rPr>
          <w:rFonts w:hint="eastAsia" w:ascii="宋体" w:hAnsi="宋体" w:cs="宋体"/>
          <w:color w:val="auto"/>
          <w:szCs w:val="21"/>
          <w:highlight w:val="none"/>
          <w:lang w:val="en-US" w:eastAsia="zh-CN"/>
        </w:rPr>
        <w:t>提交响应文件的</w:t>
      </w:r>
      <w:r>
        <w:rPr>
          <w:rFonts w:hint="eastAsia" w:ascii="宋体" w:hAnsi="宋体" w:cs="宋体"/>
          <w:color w:val="auto"/>
          <w:szCs w:val="21"/>
          <w:highlight w:val="none"/>
        </w:rPr>
        <w:t xml:space="preserve">； </w:t>
      </w:r>
    </w:p>
    <w:p>
      <w:pPr>
        <w:widowControl/>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22.2、开标过程中发现有下列情况的，由谈判小组评审后，认定为谈判响应无效：</w:t>
      </w:r>
    </w:p>
    <w:p>
      <w:pPr>
        <w:widowControl/>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22.2.1、</w:t>
      </w:r>
      <w:r>
        <w:rPr>
          <w:rFonts w:hint="eastAsia" w:ascii="宋体" w:hAnsi="宋体" w:cs="宋体"/>
          <w:color w:val="auto"/>
          <w:highlight w:val="none"/>
        </w:rPr>
        <w:t>谈判响应文件封面、谈判响应函、</w:t>
      </w:r>
      <w:r>
        <w:rPr>
          <w:rFonts w:hint="eastAsia" w:ascii="宋体" w:hAnsi="宋体" w:cs="宋体"/>
          <w:color w:val="auto"/>
          <w:highlight w:val="none"/>
          <w:lang w:val="en-US" w:eastAsia="zh-CN"/>
        </w:rPr>
        <w:t>服务</w:t>
      </w:r>
      <w:r>
        <w:rPr>
          <w:rFonts w:hint="eastAsia" w:ascii="宋体" w:hAnsi="宋体" w:cs="宋体"/>
          <w:color w:val="auto"/>
          <w:highlight w:val="none"/>
        </w:rPr>
        <w:t>报价表（首轮）、最终报</w:t>
      </w:r>
      <w:r>
        <w:rPr>
          <w:rFonts w:hint="eastAsia" w:ascii="宋体" w:hAnsi="宋体" w:eastAsia="宋体" w:cs="宋体"/>
          <w:color w:val="auto"/>
          <w:highlight w:val="none"/>
        </w:rPr>
        <w:t xml:space="preserve">价表、技术参数响应表不符合谈判文件要求拒绝补齐签字或拒绝承诺在合同签订前加盖印章的； </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22.2.2</w:t>
      </w:r>
      <w:r>
        <w:rPr>
          <w:rFonts w:ascii="宋体" w:hAnsi="宋体" w:cs="宋体"/>
          <w:color w:val="000000"/>
          <w:szCs w:val="21"/>
          <w:highlight w:val="none"/>
        </w:rPr>
        <w:t xml:space="preserve">  </w:t>
      </w:r>
      <w:r>
        <w:rPr>
          <w:rFonts w:hint="eastAsia" w:ascii="宋体" w:hAnsi="宋体" w:cs="宋体"/>
          <w:color w:val="000000"/>
          <w:szCs w:val="21"/>
          <w:highlight w:val="none"/>
        </w:rPr>
        <w:t>谈判响应报价高于谈判最高限价的；</w:t>
      </w:r>
    </w:p>
    <w:p>
      <w:pPr>
        <w:widowControl/>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22.2.3、法律、法规及竞争性谈判文件约定的其它情形。</w:t>
      </w:r>
    </w:p>
    <w:p>
      <w:pPr>
        <w:widowControl/>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22.3、谈判响应人存在下列情形之一，经谈判小组评审后，认定为谈判响应无效：</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(1)被责令停业且处于有效期内的；</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(2)被安庆市行政区域内公共资源交易监管部门限制投标资格且处于有效期内；</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(3)财产被接管或冻结可能影响本项目正常实施的；</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(4)法律、法规规定及竞争性谈判文件约定的其他情形。</w:t>
      </w:r>
    </w:p>
    <w:p>
      <w:pPr>
        <w:widowControl/>
        <w:spacing w:line="500" w:lineRule="exact"/>
        <w:ind w:firstLine="420"/>
        <w:jc w:val="left"/>
        <w:rPr>
          <w:rFonts w:ascii="宋体" w:hAnsi="宋体" w:cs="宋体"/>
          <w:color w:val="000000"/>
          <w:szCs w:val="21"/>
          <w:highlight w:val="none"/>
        </w:rPr>
      </w:pPr>
      <w:r>
        <w:rPr>
          <w:rFonts w:ascii="宋体" w:hAnsi="宋体"/>
          <w:szCs w:val="21"/>
          <w:highlight w:val="none"/>
        </w:rPr>
        <w:t>22.4 各级人民政府财政部门依法对参加政府采购活动的供应商作出的禁止参加政府采购活动等行政处罚决定在全国范围内生效。</w:t>
      </w:r>
      <w:r>
        <w:rPr>
          <w:rFonts w:hint="eastAsia" w:ascii="宋体" w:hAnsi="宋体"/>
          <w:szCs w:val="21"/>
          <w:highlight w:val="none"/>
        </w:rPr>
        <w:t>谈判响应人受到</w:t>
      </w:r>
      <w:r>
        <w:rPr>
          <w:rFonts w:ascii="宋体" w:hAnsi="宋体"/>
          <w:szCs w:val="21"/>
          <w:highlight w:val="none"/>
        </w:rPr>
        <w:t>财政部门依法</w:t>
      </w:r>
      <w:r>
        <w:rPr>
          <w:rFonts w:hint="eastAsia" w:ascii="宋体" w:hAnsi="宋体"/>
          <w:szCs w:val="21"/>
          <w:highlight w:val="none"/>
        </w:rPr>
        <w:t>作出的</w:t>
      </w:r>
      <w:r>
        <w:rPr>
          <w:rFonts w:ascii="宋体" w:hAnsi="宋体"/>
          <w:szCs w:val="21"/>
          <w:highlight w:val="none"/>
        </w:rPr>
        <w:t>禁止参加政府采购活动</w:t>
      </w:r>
      <w:r>
        <w:rPr>
          <w:rFonts w:hint="eastAsia" w:ascii="宋体" w:hAnsi="宋体"/>
          <w:szCs w:val="21"/>
          <w:highlight w:val="none"/>
        </w:rPr>
        <w:t>且在有效期内的</w:t>
      </w:r>
      <w:r>
        <w:rPr>
          <w:rFonts w:ascii="宋体" w:hAnsi="宋体"/>
          <w:szCs w:val="21"/>
          <w:highlight w:val="none"/>
        </w:rPr>
        <w:t>行政处罚</w:t>
      </w:r>
      <w:r>
        <w:rPr>
          <w:rFonts w:hint="eastAsia" w:ascii="宋体" w:hAnsi="宋体"/>
          <w:szCs w:val="21"/>
          <w:highlight w:val="none"/>
        </w:rPr>
        <w:t>，其谈判响应无效。</w:t>
      </w:r>
    </w:p>
    <w:p>
      <w:pPr>
        <w:pStyle w:val="8"/>
        <w:spacing w:line="360" w:lineRule="auto"/>
        <w:ind w:firstLine="472" w:firstLineChars="196"/>
        <w:rPr>
          <w:rFonts w:hAnsi="宋体" w:cs="宋体"/>
          <w:color w:val="000000"/>
          <w:highlight w:val="none"/>
        </w:rPr>
      </w:pPr>
      <w:bookmarkStart w:id="20" w:name="_Toc28310"/>
      <w:bookmarkStart w:id="21" w:name="_Toc55202316"/>
      <w:r>
        <w:rPr>
          <w:rFonts w:hint="eastAsia" w:hAnsi="宋体" w:cs="宋体"/>
          <w:color w:val="000000"/>
          <w:highlight w:val="none"/>
        </w:rPr>
        <w:t>六、</w:t>
      </w:r>
      <w:bookmarkEnd w:id="20"/>
      <w:r>
        <w:rPr>
          <w:rFonts w:hint="eastAsia" w:hAnsi="宋体" w:cs="宋体"/>
          <w:color w:val="000000"/>
          <w:highlight w:val="none"/>
        </w:rPr>
        <w:t>谈判</w:t>
      </w:r>
      <w:bookmarkEnd w:id="21"/>
    </w:p>
    <w:p>
      <w:pPr>
        <w:widowControl/>
        <w:spacing w:line="360" w:lineRule="auto"/>
        <w:jc w:val="left"/>
        <w:rPr>
          <w:rFonts w:ascii="宋体" w:hAnsi="宋体" w:cs="宋体"/>
          <w:color w:val="000000"/>
          <w:szCs w:val="21"/>
          <w:highlight w:val="none"/>
        </w:rPr>
      </w:pPr>
      <w:r>
        <w:rPr>
          <w:rFonts w:hint="eastAsia" w:ascii="宋体" w:hAnsi="宋体" w:cs="宋体"/>
          <w:b/>
          <w:bCs/>
          <w:color w:val="000000"/>
          <w:szCs w:val="21"/>
          <w:highlight w:val="none"/>
        </w:rPr>
        <w:t xml:space="preserve">    23、谈判小组</w:t>
      </w:r>
      <w:r>
        <w:rPr>
          <w:rFonts w:hint="eastAsia" w:ascii="宋体" w:hAnsi="宋体" w:cs="宋体"/>
          <w:color w:val="000000"/>
          <w:szCs w:val="21"/>
          <w:highlight w:val="none"/>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24、评审方法：</w:t>
      </w:r>
      <w:r>
        <w:rPr>
          <w:rFonts w:hint="eastAsia" w:ascii="宋体" w:hAnsi="宋体" w:cs="宋体"/>
          <w:color w:val="000000"/>
          <w:szCs w:val="21"/>
          <w:highlight w:val="none"/>
        </w:rPr>
        <w:t>本次谈判采用符合性评审的有效最低价评审方法。</w:t>
      </w:r>
    </w:p>
    <w:p>
      <w:pPr>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25、评审程序</w:t>
      </w:r>
      <w:r>
        <w:rPr>
          <w:rFonts w:hint="eastAsia" w:ascii="宋体" w:hAnsi="宋体" w:cs="宋体"/>
          <w:color w:val="000000"/>
          <w:szCs w:val="21"/>
          <w:highlight w:val="none"/>
        </w:rPr>
        <w:t>：评审按照谈判响应文件符合性审查、报价评审、澄清有关问题、失信核查和确定成交候选人排序进行评审。</w:t>
      </w:r>
      <w:r>
        <w:rPr>
          <w:rFonts w:hint="eastAsia" w:ascii="宋体" w:hAnsi="宋体" w:cs="宋体"/>
          <w:b/>
          <w:bCs/>
          <w:color w:val="000000"/>
          <w:szCs w:val="21"/>
          <w:highlight w:val="none"/>
        </w:rPr>
        <w:t>如有任一项未通过的则不进入下一项评审。</w:t>
      </w:r>
    </w:p>
    <w:p>
      <w:pPr>
        <w:widowControl/>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25.1、谈判响应文件符合性审查，包括但不限于以下内容：</w:t>
      </w:r>
    </w:p>
    <w:p>
      <w:pPr>
        <w:widowControl/>
        <w:spacing w:line="360" w:lineRule="auto"/>
        <w:ind w:firstLine="420"/>
        <w:jc w:val="left"/>
        <w:rPr>
          <w:rFonts w:hint="default" w:ascii="宋体" w:hAnsi="宋体" w:cs="宋体"/>
          <w:color w:val="000000"/>
          <w:szCs w:val="21"/>
          <w:highlight w:val="none"/>
          <w:lang w:val="en-US"/>
        </w:rPr>
      </w:pPr>
      <w:r>
        <w:rPr>
          <w:rFonts w:hint="eastAsia" w:ascii="宋体" w:hAnsi="宋体" w:cs="宋体"/>
          <w:color w:val="000000"/>
          <w:szCs w:val="21"/>
          <w:highlight w:val="none"/>
        </w:rPr>
        <w:t>（1）谈判响应人</w:t>
      </w:r>
      <w:r>
        <w:rPr>
          <w:rFonts w:hint="eastAsia" w:ascii="宋体" w:hAnsi="宋体" w:cs="宋体"/>
          <w:color w:val="000000"/>
          <w:szCs w:val="21"/>
          <w:highlight w:val="none"/>
          <w:lang w:val="en-US" w:eastAsia="zh-CN"/>
        </w:rPr>
        <w:t>提供的营业执照或事业单位法人证书、</w:t>
      </w:r>
      <w:r>
        <w:rPr>
          <w:rFonts w:hint="eastAsia" w:ascii="宋体" w:hAnsi="宋体"/>
          <w:szCs w:val="21"/>
          <w:highlight w:val="none"/>
        </w:rPr>
        <w:t>税务登记证</w:t>
      </w:r>
      <w:r>
        <w:rPr>
          <w:rFonts w:hint="eastAsia" w:ascii="宋体" w:hAnsi="宋体" w:cs="宋体"/>
          <w:color w:val="000000"/>
          <w:szCs w:val="21"/>
          <w:highlight w:val="none"/>
          <w:lang w:val="en-US" w:eastAsia="zh-CN"/>
        </w:rPr>
        <w:t>扫描件合法有效（</w:t>
      </w:r>
      <w:r>
        <w:rPr>
          <w:rFonts w:hint="eastAsia" w:ascii="宋体" w:hAnsi="宋体"/>
          <w:szCs w:val="21"/>
          <w:highlight w:val="none"/>
        </w:rPr>
        <w:t>已办理“三证合一”登记的，只需提供营业执照扫描件</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w:t>
      </w:r>
      <w:r>
        <w:rPr>
          <w:rFonts w:hint="default" w:ascii="宋体" w:hAnsi="宋体" w:cs="宋体"/>
          <w:color w:val="000000"/>
          <w:szCs w:val="21"/>
          <w:highlight w:val="none"/>
          <w:lang w:val="en-US"/>
        </w:rPr>
        <w:t xml:space="preserve">     </w:t>
      </w:r>
    </w:p>
    <w:p>
      <w:pPr>
        <w:widowControl/>
        <w:spacing w:line="360" w:lineRule="auto"/>
        <w:ind w:firstLine="420"/>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供应商声明函符合规定格式；</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w:t>
      </w:r>
      <w:r>
        <w:rPr>
          <w:rFonts w:hint="default" w:ascii="宋体" w:hAnsi="宋体" w:cs="宋体"/>
          <w:color w:val="000000"/>
          <w:szCs w:val="21"/>
          <w:highlight w:val="none"/>
          <w:lang w:val="en-US"/>
        </w:rPr>
        <w:t>3</w:t>
      </w:r>
      <w:r>
        <w:rPr>
          <w:rFonts w:hint="eastAsia" w:ascii="宋体" w:hAnsi="宋体" w:cs="宋体"/>
          <w:color w:val="000000"/>
          <w:szCs w:val="21"/>
          <w:highlight w:val="none"/>
        </w:rPr>
        <w:t>）谈判响应文件是否按竞争性谈判文件的要求进行编制、盖章和标记；</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w:t>
      </w:r>
      <w:r>
        <w:rPr>
          <w:rFonts w:hint="default" w:ascii="宋体" w:hAnsi="宋体" w:cs="宋体"/>
          <w:color w:val="000000"/>
          <w:szCs w:val="21"/>
          <w:highlight w:val="none"/>
          <w:lang w:val="en-US"/>
        </w:rPr>
        <w:t>4</w:t>
      </w:r>
      <w:r>
        <w:rPr>
          <w:rFonts w:hint="eastAsia" w:ascii="宋体" w:hAnsi="宋体" w:cs="宋体"/>
          <w:color w:val="000000"/>
          <w:szCs w:val="21"/>
          <w:highlight w:val="none"/>
        </w:rPr>
        <w:t>）竞争性谈判文件要求提交的各种证明文件是否真实、完整、合法、有效；</w:t>
      </w:r>
    </w:p>
    <w:p>
      <w:pPr>
        <w:widowControl/>
        <w:spacing w:line="360" w:lineRule="auto"/>
        <w:ind w:firstLine="420" w:firstLineChars="200"/>
        <w:jc w:val="left"/>
        <w:rPr>
          <w:rFonts w:ascii="宋体" w:hAnsi="宋体" w:cs="宋体"/>
          <w:color w:val="000000"/>
          <w:szCs w:val="21"/>
          <w:highlight w:val="none"/>
        </w:rPr>
      </w:pPr>
      <w:r>
        <w:rPr>
          <w:rFonts w:hint="eastAsia" w:ascii="宋体" w:hAnsi="宋体"/>
          <w:color w:val="000000"/>
          <w:szCs w:val="21"/>
          <w:highlight w:val="none"/>
        </w:rPr>
        <w:t>（</w:t>
      </w:r>
      <w:r>
        <w:rPr>
          <w:rFonts w:hint="default" w:ascii="宋体" w:hAnsi="宋体"/>
          <w:color w:val="000000"/>
          <w:szCs w:val="21"/>
          <w:highlight w:val="none"/>
          <w:lang w:val="en-US"/>
        </w:rPr>
        <w:t>5</w:t>
      </w:r>
      <w:r>
        <w:rPr>
          <w:rFonts w:hint="eastAsia" w:ascii="宋体" w:hAnsi="宋体"/>
          <w:color w:val="000000"/>
          <w:szCs w:val="21"/>
          <w:highlight w:val="none"/>
        </w:rPr>
        <w:t>）</w:t>
      </w:r>
      <w:r>
        <w:rPr>
          <w:rFonts w:hint="eastAsia" w:ascii="宋体" w:hAnsi="宋体" w:cs="宋体"/>
          <w:color w:val="000000"/>
          <w:szCs w:val="21"/>
          <w:highlight w:val="none"/>
        </w:rPr>
        <w:t>所提</w:t>
      </w:r>
      <w:r>
        <w:rPr>
          <w:rFonts w:hint="eastAsia" w:ascii="宋体" w:hAnsi="宋体" w:cs="宋体"/>
          <w:color w:val="000000" w:themeColor="text1"/>
          <w:szCs w:val="21"/>
          <w:highlight w:val="none"/>
        </w:rPr>
        <w:t>供的服务</w:t>
      </w:r>
      <w:r>
        <w:rPr>
          <w:rFonts w:hint="eastAsia" w:ascii="宋体" w:hAnsi="宋体" w:cs="宋体"/>
          <w:color w:val="000000"/>
          <w:szCs w:val="21"/>
          <w:highlight w:val="none"/>
        </w:rPr>
        <w:t>是否有缺少；</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default" w:ascii="宋体" w:hAnsi="宋体" w:cs="宋体"/>
          <w:color w:val="000000"/>
          <w:szCs w:val="21"/>
          <w:highlight w:val="none"/>
          <w:lang w:val="en-US"/>
        </w:rPr>
        <w:t>6</w:t>
      </w:r>
      <w:r>
        <w:rPr>
          <w:rFonts w:hint="eastAsia" w:ascii="宋体" w:hAnsi="宋体" w:cs="宋体"/>
          <w:color w:val="000000"/>
          <w:szCs w:val="21"/>
          <w:highlight w:val="none"/>
        </w:rPr>
        <w:t xml:space="preserve">） 谈判响应的服务内容及质量要求是否完全响应或优于竞争性谈判文件要求；   </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）谈判响应文件对法律、法规和竞争性谈判文件其他明确要求的符合性；</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）联合体谈判响应是否提交联合体谈判响应协议书，且联合体协议书中是否明确牵头单位；</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）谈判响应文件是否附有采购人不能接受的条件；</w:t>
      </w:r>
    </w:p>
    <w:p>
      <w:pPr>
        <w:widowControl/>
        <w:spacing w:line="360" w:lineRule="auto"/>
        <w:ind w:firstLine="405"/>
        <w:jc w:val="left"/>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）谈判响应文件是否存在竞争性谈判文件中约定的无效谈判响应文件的其他情形；</w:t>
      </w:r>
    </w:p>
    <w:p>
      <w:pPr>
        <w:widowControl/>
        <w:spacing w:line="500" w:lineRule="exact"/>
        <w:ind w:firstLine="405"/>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）谈判响应文件是否符合竞争性谈判文件的要求。</w:t>
      </w:r>
    </w:p>
    <w:p>
      <w:pPr>
        <w:widowControl/>
        <w:spacing w:line="500" w:lineRule="exact"/>
        <w:ind w:firstLine="420" w:firstLineChars="200"/>
        <w:jc w:val="left"/>
        <w:rPr>
          <w:rFonts w:ascii="宋体" w:hAnsi="宋体" w:cs="宋体"/>
          <w:b/>
          <w:color w:val="000000"/>
          <w:szCs w:val="21"/>
          <w:highlight w:val="none"/>
        </w:rPr>
      </w:pPr>
      <w:r>
        <w:rPr>
          <w:rFonts w:hint="eastAsia" w:ascii="宋体" w:hAnsi="宋体" w:cs="宋体"/>
          <w:color w:val="000000"/>
          <w:szCs w:val="21"/>
          <w:highlight w:val="none"/>
        </w:rPr>
        <w:t>25.2、</w:t>
      </w:r>
      <w:r>
        <w:rPr>
          <w:rFonts w:hint="eastAsia" w:ascii="宋体" w:hAnsi="宋体" w:cs="宋体"/>
          <w:b/>
          <w:color w:val="000000"/>
          <w:szCs w:val="21"/>
          <w:highlight w:val="none"/>
        </w:rPr>
        <w:t>谈判文件所有要求提供复印件或影印件的，若在谈判响应文件中未提供响应复印件或影印件，由成交人在签订合同前提交给采购人，否则视为成交人自动放弃成交资格。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color w:val="000000"/>
          <w:szCs w:val="21"/>
          <w:highlight w:val="none"/>
        </w:rPr>
      </w:pPr>
      <w:r>
        <w:rPr>
          <w:rFonts w:hint="eastAsia" w:ascii="宋体" w:hAnsi="宋体" w:cs="宋体"/>
          <w:b/>
          <w:color w:val="000000"/>
          <w:szCs w:val="21"/>
          <w:highlight w:val="none"/>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25.4、报价评审：谈判响应报价不得超过谈判最高限价，否则报价评审不通过。</w:t>
      </w:r>
    </w:p>
    <w:p>
      <w:pPr>
        <w:widowControl/>
        <w:spacing w:line="360" w:lineRule="auto"/>
        <w:ind w:firstLine="430"/>
        <w:jc w:val="left"/>
        <w:rPr>
          <w:rFonts w:ascii="宋体" w:hAnsi="宋体" w:cs="宋体"/>
          <w:b/>
          <w:color w:val="000000"/>
          <w:szCs w:val="21"/>
          <w:highlight w:val="none"/>
        </w:rPr>
      </w:pPr>
      <w:r>
        <w:rPr>
          <w:rFonts w:hint="eastAsia" w:ascii="宋体" w:hAnsi="宋体" w:cs="宋体"/>
          <w:color w:val="000000"/>
          <w:szCs w:val="21"/>
          <w:highlight w:val="none"/>
        </w:rPr>
        <w:t>报价中包含单价与总价的，应审核总价金额与按单价汇总金额是否一致</w:t>
      </w:r>
      <w:r>
        <w:rPr>
          <w:rFonts w:hint="eastAsia" w:ascii="宋体" w:hAnsi="宋体" w:cs="宋体"/>
          <w:b/>
          <w:color w:val="000000"/>
          <w:szCs w:val="21"/>
          <w:highlight w:val="none"/>
        </w:rPr>
        <w:t>。</w:t>
      </w:r>
    </w:p>
    <w:p>
      <w:pPr>
        <w:widowControl/>
        <w:spacing w:line="360" w:lineRule="auto"/>
        <w:ind w:firstLine="430"/>
        <w:jc w:val="left"/>
        <w:rPr>
          <w:rFonts w:ascii="宋体" w:hAnsi="宋体" w:cs="宋体"/>
          <w:color w:val="000000"/>
          <w:szCs w:val="21"/>
          <w:highlight w:val="none"/>
        </w:rPr>
      </w:pPr>
      <w:r>
        <w:rPr>
          <w:rFonts w:hint="eastAsia" w:ascii="宋体" w:hAnsi="宋体" w:cs="宋体"/>
          <w:color w:val="000000"/>
          <w:szCs w:val="21"/>
          <w:highlight w:val="none"/>
        </w:rPr>
        <w:t>25.5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szCs w:val="21"/>
          <w:highlight w:val="none"/>
        </w:rPr>
      </w:pPr>
      <w:r>
        <w:rPr>
          <w:rFonts w:hint="eastAsia" w:ascii="宋体" w:hAnsi="宋体"/>
          <w:b/>
          <w:szCs w:val="21"/>
          <w:highlight w:val="none"/>
        </w:rPr>
        <w:t>谈判响应人响应报价与公布的预算价（或控制价)相比降幅过小，或谈判响应人响应报价明显缺乏竞争性的，谈判小组可以否决所有谈判响应文件。</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25.7.1</w:t>
      </w:r>
      <w:r>
        <w:rPr>
          <w:rFonts w:hint="eastAsia" w:ascii="宋体" w:hAnsi="宋体" w:cs="宋体"/>
          <w:b/>
          <w:color w:val="000000"/>
          <w:szCs w:val="21"/>
          <w:highlight w:val="none"/>
        </w:rPr>
        <w:t>谈判响应人对谈判文件中个别或部分条款或谈判小组提出的要求未作出响应时，需谈判响应人以</w:t>
      </w:r>
      <w:r>
        <w:rPr>
          <w:rFonts w:hint="eastAsia" w:ascii="宋体" w:hAnsi="宋体" w:cs="宋体"/>
          <w:b/>
          <w:color w:val="000000"/>
          <w:szCs w:val="21"/>
          <w:highlight w:val="none"/>
          <w:lang w:val="en-US" w:eastAsia="zh-CN"/>
        </w:rPr>
        <w:t>邮件</w:t>
      </w:r>
      <w:r>
        <w:rPr>
          <w:rFonts w:hint="eastAsia" w:ascii="宋体" w:hAnsi="宋体" w:cs="宋体"/>
          <w:b/>
          <w:color w:val="000000"/>
          <w:szCs w:val="21"/>
          <w:highlight w:val="none"/>
        </w:rPr>
        <w:t>形式向谈判小组提出，且需谈判小组组长签字确认。未对谈判文件中个别或部分条款或谈判小组提出的要求作出实质性响应的报价，有可能被拒绝。</w:t>
      </w:r>
    </w:p>
    <w:p>
      <w:pPr>
        <w:spacing w:line="360" w:lineRule="auto"/>
        <w:ind w:firstLine="420" w:firstLineChars="200"/>
        <w:rPr>
          <w:rFonts w:ascii="宋体" w:hAnsi="宋体" w:cs="宋体"/>
          <w:b/>
          <w:color w:val="000000"/>
          <w:szCs w:val="21"/>
          <w:highlight w:val="none"/>
        </w:rPr>
      </w:pPr>
      <w:r>
        <w:rPr>
          <w:rFonts w:hint="eastAsia" w:ascii="宋体" w:hAnsi="宋体" w:cs="宋体"/>
          <w:color w:val="000000"/>
          <w:szCs w:val="21"/>
          <w:highlight w:val="none"/>
        </w:rPr>
        <w:t>25.7.2</w:t>
      </w:r>
      <w:r>
        <w:rPr>
          <w:rFonts w:hint="eastAsia" w:ascii="宋体" w:hAnsi="宋体" w:cs="宋体"/>
          <w:b/>
          <w:color w:val="000000"/>
          <w:szCs w:val="21"/>
          <w:highlight w:val="none"/>
        </w:rPr>
        <w:t>谈判响应人根据谈判小组要求进行最终报价，且最终报价不得高于首轮报价。谈判响应人将最终报价表制作完成并加盖谈判响应人公章（PDF等不可编辑的电子文件）后应对最终报价表进行文档加密，谈判响应人将加密最终报价表电子档发至</w:t>
      </w:r>
      <w:r>
        <w:rPr>
          <w:rFonts w:hint="eastAsia" w:ascii="宋体" w:hAnsi="宋体" w:cs="宋体"/>
          <w:b/>
          <w:color w:val="000000"/>
          <w:szCs w:val="21"/>
          <w:highlight w:val="none"/>
          <w:lang w:eastAsia="zh-CN"/>
        </w:rPr>
        <w:t>2946607994</w:t>
      </w:r>
      <w:r>
        <w:rPr>
          <w:rFonts w:hint="eastAsia" w:ascii="宋体" w:hAnsi="宋体" w:cs="宋体"/>
          <w:b/>
          <w:color w:val="000000"/>
          <w:szCs w:val="21"/>
          <w:highlight w:val="none"/>
        </w:rPr>
        <w:t>@qq.com邮箱。开启时工作人员通过电话向各响应人获取密码解密。</w:t>
      </w:r>
    </w:p>
    <w:p>
      <w:pPr>
        <w:widowControl/>
        <w:spacing w:line="5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25.</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、失信核查</w:t>
      </w:r>
    </w:p>
    <w:p>
      <w:pPr>
        <w:widowControl/>
        <w:spacing w:line="500" w:lineRule="exact"/>
        <w:ind w:firstLine="420"/>
        <w:jc w:val="left"/>
        <w:rPr>
          <w:rStyle w:val="34"/>
          <w:color w:val="000000" w:themeColor="text1"/>
          <w:szCs w:val="21"/>
          <w:highlight w:val="none"/>
        </w:rPr>
      </w:pPr>
      <w:r>
        <w:rPr>
          <w:rFonts w:hint="eastAsia" w:ascii="宋体" w:hAnsi="宋体"/>
          <w:szCs w:val="21"/>
          <w:highlight w:val="none"/>
        </w:rPr>
        <w:t>谈判小组查询排序前三名的谈判响应人信用记录，谈判响应人存在不良信用记录的，谈判小组</w:t>
      </w:r>
      <w:r>
        <w:rPr>
          <w:highlight w:val="none"/>
        </w:rPr>
        <w:fldChar w:fldCharType="begin"/>
      </w:r>
      <w:r>
        <w:rPr>
          <w:highlight w:val="none"/>
        </w:rPr>
        <w:instrText xml:space="preserve"> HYPERLINK "http://www.ccgp.gov.cn/），若核查存在政府采购严重违法失信名单记录的投标人，评标委员会不得将其推荐为中标候选人，依序递补，并再次对递补的投标人进行核查及计算信用评审价。" </w:instrText>
      </w:r>
      <w:r>
        <w:rPr>
          <w:highlight w:val="none"/>
        </w:rPr>
        <w:fldChar w:fldCharType="separate"/>
      </w:r>
      <w:r>
        <w:rPr>
          <w:rStyle w:val="34"/>
          <w:rFonts w:hint="eastAsia"/>
          <w:color w:val="000000" w:themeColor="text1"/>
          <w:szCs w:val="21"/>
          <w:highlight w:val="none"/>
          <w:u w:val="none"/>
        </w:rPr>
        <w:t>不得将其推荐为成交候选人，依序递补，并再次对递补的谈判响应人进行核查及计算信用评审价。</w:t>
      </w:r>
      <w:r>
        <w:rPr>
          <w:rStyle w:val="34"/>
          <w:rFonts w:hint="eastAsia"/>
          <w:color w:val="000000" w:themeColor="text1"/>
          <w:szCs w:val="21"/>
          <w:highlight w:val="none"/>
          <w:u w:val="none"/>
        </w:rPr>
        <w:fldChar w:fldCharType="end"/>
      </w:r>
    </w:p>
    <w:p>
      <w:pPr>
        <w:widowControl/>
        <w:spacing w:line="500" w:lineRule="exact"/>
        <w:ind w:firstLine="420"/>
        <w:jc w:val="left"/>
        <w:rPr>
          <w:rFonts w:ascii="宋体" w:hAnsi="宋体"/>
          <w:szCs w:val="21"/>
          <w:highlight w:val="none"/>
        </w:rPr>
      </w:pPr>
      <w:r>
        <w:rPr>
          <w:rFonts w:ascii="宋体" w:hAnsi="宋体"/>
          <w:szCs w:val="21"/>
          <w:highlight w:val="none"/>
        </w:rPr>
        <w:t>25.</w:t>
      </w:r>
      <w:r>
        <w:rPr>
          <w:rFonts w:hint="eastAsia" w:ascii="宋体" w:hAnsi="宋体"/>
          <w:szCs w:val="21"/>
          <w:highlight w:val="none"/>
          <w:lang w:val="en-US" w:eastAsia="zh-CN"/>
        </w:rPr>
        <w:t>8</w:t>
      </w:r>
      <w:r>
        <w:rPr>
          <w:rFonts w:ascii="宋体" w:hAnsi="宋体"/>
          <w:szCs w:val="21"/>
          <w:highlight w:val="none"/>
        </w:rPr>
        <w:t>.1</w:t>
      </w:r>
      <w:r>
        <w:rPr>
          <w:rFonts w:hint="eastAsia" w:ascii="宋体" w:hAnsi="宋体"/>
          <w:szCs w:val="21"/>
          <w:highlight w:val="none"/>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szCs w:val="21"/>
          <w:highlight w:val="none"/>
        </w:rPr>
      </w:pPr>
      <w:r>
        <w:rPr>
          <w:rFonts w:hint="eastAsia" w:ascii="宋体" w:hAnsi="宋体"/>
          <w:szCs w:val="21"/>
          <w:highlight w:val="none"/>
        </w:rPr>
        <w:t>2</w:t>
      </w:r>
      <w:r>
        <w:rPr>
          <w:rFonts w:ascii="宋体" w:hAnsi="宋体"/>
          <w:szCs w:val="21"/>
          <w:highlight w:val="none"/>
        </w:rPr>
        <w:t>5.</w:t>
      </w:r>
      <w:r>
        <w:rPr>
          <w:rFonts w:hint="eastAsia" w:ascii="宋体" w:hAnsi="宋体"/>
          <w:szCs w:val="21"/>
          <w:highlight w:val="none"/>
          <w:lang w:val="en-US" w:eastAsia="zh-CN"/>
        </w:rPr>
        <w:t>8</w:t>
      </w:r>
      <w:r>
        <w:rPr>
          <w:rFonts w:ascii="宋体" w:hAnsi="宋体"/>
          <w:szCs w:val="21"/>
          <w:highlight w:val="none"/>
        </w:rPr>
        <w:t>.2</w:t>
      </w:r>
      <w:r>
        <w:rPr>
          <w:rFonts w:hint="eastAsia" w:ascii="宋体" w:hAnsi="宋体"/>
          <w:szCs w:val="21"/>
          <w:highlight w:val="none"/>
        </w:rPr>
        <w:t>信用信息查询渠道：中国政府采购网（www.ccgp.gov.cn）、“信用中国”网站（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highlight w:val="none"/>
        </w:rPr>
        <w:t>www.creditchina.gov.cn</w:t>
      </w:r>
      <w:r>
        <w:rPr>
          <w:rFonts w:hint="eastAsia"/>
          <w:highlight w:val="none"/>
        </w:rPr>
        <w:fldChar w:fldCharType="end"/>
      </w:r>
      <w:r>
        <w:rPr>
          <w:rFonts w:hint="eastAsia" w:ascii="宋体" w:hAnsi="宋体"/>
          <w:szCs w:val="21"/>
          <w:highlight w:val="none"/>
        </w:rPr>
        <w:t>）。</w:t>
      </w:r>
    </w:p>
    <w:p>
      <w:pPr>
        <w:widowControl/>
        <w:spacing w:line="5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25.</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确定成交候选人排序：谈判小组对通过谈判响应文件符合性审查、报价评审和失信核查的谈判响应人，根据评审价由低至高的顺序排列。评审价最低的为第一成交候选人，次低的为第二成交候选人，第三低的为第三成交候选人。若出现两家或两家以上</w:t>
      </w:r>
      <w:r>
        <w:rPr>
          <w:rFonts w:hint="eastAsia" w:ascii="宋体" w:hAnsi="宋体" w:cs="宋体"/>
          <w:b/>
          <w:bCs/>
          <w:color w:val="000000"/>
          <w:szCs w:val="21"/>
          <w:highlight w:val="none"/>
        </w:rPr>
        <w:t>评审价</w:t>
      </w:r>
      <w:r>
        <w:rPr>
          <w:rFonts w:hint="eastAsia" w:ascii="宋体" w:hAnsi="宋体" w:cs="宋体"/>
          <w:color w:val="000000"/>
          <w:szCs w:val="21"/>
          <w:highlight w:val="none"/>
        </w:rPr>
        <w:t>最低且相等时，则由采购人采取现场随机抽取的方式确定成交候选人排序。</w:t>
      </w:r>
    </w:p>
    <w:p>
      <w:pPr>
        <w:widowControl/>
        <w:spacing w:line="500" w:lineRule="exact"/>
        <w:jc w:val="left"/>
        <w:rPr>
          <w:rFonts w:ascii="宋体" w:hAnsi="宋体" w:cs="宋体"/>
          <w:b/>
          <w:bCs/>
          <w:color w:val="000000"/>
          <w:szCs w:val="21"/>
          <w:highlight w:val="none"/>
        </w:rPr>
      </w:pPr>
      <w:r>
        <w:rPr>
          <w:rFonts w:hint="eastAsia" w:ascii="宋体" w:hAnsi="宋体" w:cs="宋体"/>
          <w:color w:val="000000"/>
          <w:szCs w:val="21"/>
          <w:highlight w:val="none"/>
        </w:rPr>
        <w:t xml:space="preserve">    </w:t>
      </w:r>
      <w:r>
        <w:rPr>
          <w:rFonts w:hint="eastAsia" w:ascii="宋体" w:hAnsi="宋体" w:cs="宋体"/>
          <w:b/>
          <w:bCs/>
          <w:color w:val="000000"/>
          <w:szCs w:val="21"/>
          <w:highlight w:val="none"/>
        </w:rPr>
        <w:t>26、</w:t>
      </w:r>
      <w:r>
        <w:rPr>
          <w:rFonts w:hint="eastAsia" w:ascii="宋体" w:hAnsi="宋体" w:cs="宋体"/>
          <w:b/>
          <w:color w:val="000000"/>
          <w:szCs w:val="21"/>
          <w:highlight w:val="none"/>
        </w:rPr>
        <w:t>谈判评审</w:t>
      </w:r>
      <w:r>
        <w:rPr>
          <w:rFonts w:hint="eastAsia" w:ascii="宋体" w:hAnsi="宋体" w:cs="宋体"/>
          <w:b/>
          <w:bCs/>
          <w:color w:val="000000"/>
          <w:szCs w:val="21"/>
          <w:highlight w:val="none"/>
        </w:rPr>
        <w:t>异常情况处理</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在竞争性谈判采购中，出现下列情况之一的，应予废标，采购单位重新组织采购：</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(1) 符合专业条件的谈判响应人或者对竞争性谈判文件作实质响应的谈判响应人不足三家的；</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(2)</w:t>
      </w:r>
      <w:r>
        <w:rPr>
          <w:rFonts w:hint="eastAsia" w:ascii="宋体" w:hAnsi="宋体" w:cs="宋体"/>
          <w:color w:val="000000"/>
          <w:szCs w:val="21"/>
          <w:highlight w:val="none"/>
        </w:rPr>
        <w:tab/>
      </w:r>
      <w:r>
        <w:rPr>
          <w:rFonts w:hint="eastAsia" w:ascii="宋体" w:hAnsi="宋体" w:cs="宋体"/>
          <w:color w:val="000000"/>
          <w:szCs w:val="21"/>
          <w:highlight w:val="none"/>
        </w:rPr>
        <w:t>出现影响采购公正的违法、违规行为的；</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(3)</w:t>
      </w:r>
      <w:r>
        <w:rPr>
          <w:rFonts w:hint="eastAsia" w:ascii="宋体" w:hAnsi="宋体" w:cs="宋体"/>
          <w:color w:val="000000"/>
          <w:szCs w:val="21"/>
          <w:highlight w:val="none"/>
        </w:rPr>
        <w:tab/>
      </w:r>
      <w:r>
        <w:rPr>
          <w:rFonts w:hint="eastAsia" w:ascii="宋体" w:hAnsi="宋体" w:cs="宋体"/>
          <w:color w:val="000000"/>
          <w:szCs w:val="21"/>
          <w:highlight w:val="none"/>
        </w:rPr>
        <w:t>谈判响应人的总报价均超过了谈判最高限价，采购人不能支付的；</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rPr>
        <w:tab/>
      </w:r>
      <w:r>
        <w:rPr>
          <w:rFonts w:hint="eastAsia" w:ascii="宋体" w:hAnsi="宋体" w:cs="宋体"/>
          <w:color w:val="000000"/>
          <w:szCs w:val="21"/>
          <w:highlight w:val="none"/>
        </w:rPr>
        <w:t>因重大变故，采购任务取消的。</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27、谈判过程的保密性</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27.2、在评审过程中，谈判响应人如向谈判小组成员施加任何影响，都将会导致其谈判响应文件被拒绝。   </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27.3、成交人确定后，采购单位不对未成交人就评审过程以及未能成交原因做出任何解释。谈判响应人不得向谈判小组组成人员或其他有关人员询问评审过程的情况和要求提供材料。</w:t>
      </w:r>
      <w:bookmarkStart w:id="22" w:name="_Toc417655921"/>
      <w:bookmarkStart w:id="23" w:name="_Toc418517858"/>
      <w:bookmarkStart w:id="24" w:name="_Toc15032"/>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27.4、服务费</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27.4.1、成交人应在收到缴费通知后三日内按竞争性谈判文件要求缴纳服务费</w:t>
      </w:r>
      <w:r>
        <w:rPr>
          <w:rFonts w:hint="eastAsia" w:ascii="宋体" w:hAnsi="宋体"/>
          <w:color w:val="000000"/>
          <w:szCs w:val="21"/>
          <w:highlight w:val="none"/>
        </w:rPr>
        <w:t>，完成缴费后请</w:t>
      </w:r>
      <w:r>
        <w:rPr>
          <w:rFonts w:ascii="宋体" w:hAnsi="宋体"/>
          <w:color w:val="000000"/>
          <w:szCs w:val="21"/>
          <w:highlight w:val="none"/>
        </w:rPr>
        <w:t>在</w:t>
      </w:r>
      <w:r>
        <w:rPr>
          <w:rFonts w:hint="eastAsia" w:ascii="宋体" w:hAnsi="宋体"/>
          <w:color w:val="000000"/>
          <w:szCs w:val="21"/>
          <w:highlight w:val="none"/>
        </w:rPr>
        <w:t>7</w:t>
      </w:r>
      <w:r>
        <w:rPr>
          <w:rFonts w:ascii="宋体" w:hAnsi="宋体"/>
          <w:color w:val="000000"/>
          <w:szCs w:val="21"/>
          <w:highlight w:val="none"/>
        </w:rPr>
        <w:t>个工作日内前来开具增值税发票，逾期按普票开具，不再开具专票。</w:t>
      </w:r>
    </w:p>
    <w:p>
      <w:pPr>
        <w:widowControl/>
        <w:spacing w:line="360" w:lineRule="auto"/>
        <w:ind w:firstLine="405"/>
        <w:jc w:val="left"/>
        <w:rPr>
          <w:rFonts w:ascii="宋体" w:hAnsi="宋体" w:cs="宋体"/>
          <w:color w:val="000000"/>
          <w:szCs w:val="21"/>
          <w:highlight w:val="none"/>
        </w:rPr>
      </w:pPr>
      <w:r>
        <w:rPr>
          <w:rFonts w:hint="eastAsia" w:ascii="宋体" w:hAnsi="宋体" w:cs="宋体"/>
          <w:color w:val="000000"/>
          <w:szCs w:val="21"/>
          <w:highlight w:val="none"/>
        </w:rPr>
        <w:t>27.4.2、服务费按差额定率累进法计算。以成交价为计算基数，按下表约定的</w:t>
      </w:r>
      <w:r>
        <w:rPr>
          <w:rFonts w:hint="eastAsia" w:ascii="宋体" w:hAnsi="宋体" w:cs="宋体"/>
          <w:color w:val="000000"/>
          <w:szCs w:val="21"/>
          <w:highlight w:val="none"/>
          <w:u w:val="single"/>
        </w:rPr>
        <w:t>服务</w:t>
      </w:r>
      <w:r>
        <w:rPr>
          <w:rFonts w:hint="eastAsia" w:ascii="宋体" w:hAnsi="宋体" w:cs="宋体"/>
          <w:color w:val="000000"/>
          <w:szCs w:val="21"/>
          <w:highlight w:val="none"/>
        </w:rPr>
        <w:t>标准的80%收取。</w:t>
      </w:r>
    </w:p>
    <w:tbl>
      <w:tblPr>
        <w:tblStyle w:val="25"/>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color w:val="000000"/>
                <w:szCs w:val="21"/>
                <w:highlight w:val="none"/>
              </w:rPr>
            </w:pPr>
            <w:r>
              <w:rPr>
                <w:rFonts w:ascii="宋体" w:hAnsi="宋体" w:cs="宋体"/>
                <w:color w:val="000000"/>
                <w:szCs w:val="21"/>
                <w:highlight w:val="none"/>
              </w:rPr>
              <w:pict>
                <v:line id="Line 2" o:spid="_x0000_s1026" o:spt="20" style="position:absolute;left:0pt;margin-left:-5.35pt;margin-top:1.05pt;height:38.85pt;width:143.95pt;z-index:251660288;mso-width-relative:page;mso-height-relative:page;" coordsize="21600,21600">
                  <v:path arrowok="t"/>
                  <v:fill focussize="0,0"/>
                  <v:stroke/>
                  <v:imagedata o:title=""/>
                  <o:lock v:ext="edit"/>
                </v:line>
              </w:pict>
            </w:r>
            <w:r>
              <w:rPr>
                <w:rFonts w:hint="eastAsia" w:ascii="宋体" w:hAnsi="宋体" w:cs="宋体"/>
                <w:color w:val="000000"/>
                <w:szCs w:val="21"/>
                <w:highlight w:val="none"/>
              </w:rPr>
              <w:t xml:space="preserve">          费率</w:t>
            </w:r>
          </w:p>
          <w:p>
            <w:pPr>
              <w:rPr>
                <w:rFonts w:ascii="宋体" w:hAnsi="宋体" w:cs="宋体"/>
                <w:color w:val="000000"/>
                <w:szCs w:val="21"/>
                <w:highlight w:val="none"/>
              </w:rPr>
            </w:pPr>
            <w:r>
              <w:rPr>
                <w:rFonts w:hint="eastAsia" w:ascii="宋体" w:hAnsi="宋体" w:cs="宋体"/>
                <w:color w:val="000000"/>
                <w:szCs w:val="21"/>
                <w:highlight w:val="none"/>
              </w:rPr>
              <w:t>成交价</w:t>
            </w:r>
          </w:p>
        </w:tc>
        <w:tc>
          <w:tcPr>
            <w:tcW w:w="1755" w:type="dxa"/>
            <w:vAlign w:val="center"/>
          </w:tcPr>
          <w:p>
            <w:pPr>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货物招标</w:t>
            </w:r>
          </w:p>
        </w:tc>
        <w:tc>
          <w:tcPr>
            <w:tcW w:w="1682"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服务招标</w:t>
            </w:r>
          </w:p>
        </w:tc>
        <w:tc>
          <w:tcPr>
            <w:tcW w:w="2186"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100万元以下</w:t>
            </w:r>
          </w:p>
        </w:tc>
        <w:tc>
          <w:tcPr>
            <w:tcW w:w="1755" w:type="dxa"/>
          </w:tcPr>
          <w:p>
            <w:pPr>
              <w:jc w:val="center"/>
              <w:rPr>
                <w:rFonts w:ascii="宋体" w:hAnsi="宋体" w:cs="宋体"/>
                <w:color w:val="000000"/>
                <w:szCs w:val="21"/>
                <w:highlight w:val="none"/>
              </w:rPr>
            </w:pPr>
            <w:r>
              <w:rPr>
                <w:rFonts w:hint="eastAsia" w:ascii="宋体" w:hAnsi="宋体" w:cs="宋体"/>
                <w:color w:val="000000"/>
                <w:kern w:val="0"/>
                <w:szCs w:val="21"/>
                <w:highlight w:val="none"/>
              </w:rPr>
              <w:t>1.5%</w:t>
            </w:r>
          </w:p>
        </w:tc>
        <w:tc>
          <w:tcPr>
            <w:tcW w:w="1682"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1.5%</w:t>
            </w:r>
          </w:p>
        </w:tc>
        <w:tc>
          <w:tcPr>
            <w:tcW w:w="2186"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100～500万元</w:t>
            </w:r>
          </w:p>
        </w:tc>
        <w:tc>
          <w:tcPr>
            <w:tcW w:w="1755"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1.1%</w:t>
            </w:r>
          </w:p>
        </w:tc>
        <w:tc>
          <w:tcPr>
            <w:tcW w:w="1682"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0.8%</w:t>
            </w:r>
          </w:p>
        </w:tc>
        <w:tc>
          <w:tcPr>
            <w:tcW w:w="2186"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500～1000万元</w:t>
            </w:r>
          </w:p>
        </w:tc>
        <w:tc>
          <w:tcPr>
            <w:tcW w:w="1755" w:type="dxa"/>
          </w:tcPr>
          <w:p>
            <w:pPr>
              <w:jc w:val="center"/>
              <w:rPr>
                <w:rFonts w:ascii="宋体" w:hAnsi="宋体" w:cs="宋体"/>
                <w:color w:val="000000"/>
                <w:szCs w:val="21"/>
                <w:highlight w:val="none"/>
              </w:rPr>
            </w:pPr>
            <w:r>
              <w:rPr>
                <w:rFonts w:hint="eastAsia" w:ascii="宋体" w:hAnsi="宋体" w:cs="宋体"/>
                <w:color w:val="000000"/>
                <w:kern w:val="0"/>
                <w:szCs w:val="21"/>
                <w:highlight w:val="none"/>
              </w:rPr>
              <w:t>0.8%</w:t>
            </w:r>
          </w:p>
        </w:tc>
        <w:tc>
          <w:tcPr>
            <w:tcW w:w="1682"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0.45%</w:t>
            </w:r>
          </w:p>
        </w:tc>
        <w:tc>
          <w:tcPr>
            <w:tcW w:w="2186"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1000～5000万元</w:t>
            </w:r>
          </w:p>
        </w:tc>
        <w:tc>
          <w:tcPr>
            <w:tcW w:w="1755"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0.5%</w:t>
            </w:r>
          </w:p>
        </w:tc>
        <w:tc>
          <w:tcPr>
            <w:tcW w:w="1682"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0.25%</w:t>
            </w:r>
          </w:p>
        </w:tc>
        <w:tc>
          <w:tcPr>
            <w:tcW w:w="2186"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5000万元～1亿元</w:t>
            </w:r>
          </w:p>
        </w:tc>
        <w:tc>
          <w:tcPr>
            <w:tcW w:w="1755"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0.25%</w:t>
            </w:r>
          </w:p>
        </w:tc>
        <w:tc>
          <w:tcPr>
            <w:tcW w:w="1682"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0.1%</w:t>
            </w:r>
          </w:p>
        </w:tc>
        <w:tc>
          <w:tcPr>
            <w:tcW w:w="2186"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1～5亿元</w:t>
            </w:r>
          </w:p>
        </w:tc>
        <w:tc>
          <w:tcPr>
            <w:tcW w:w="1755" w:type="dxa"/>
          </w:tcPr>
          <w:p>
            <w:pPr>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0.05%</w:t>
            </w:r>
          </w:p>
        </w:tc>
        <w:tc>
          <w:tcPr>
            <w:tcW w:w="1682" w:type="dxa"/>
          </w:tcPr>
          <w:p>
            <w:pPr>
              <w:jc w:val="center"/>
              <w:rPr>
                <w:rFonts w:ascii="宋体" w:hAnsi="宋体" w:cs="宋体"/>
                <w:color w:val="000000"/>
                <w:szCs w:val="21"/>
                <w:highlight w:val="none"/>
              </w:rPr>
            </w:pPr>
            <w:r>
              <w:rPr>
                <w:rFonts w:hint="eastAsia" w:ascii="宋体" w:hAnsi="宋体" w:cs="宋体"/>
                <w:color w:val="000000"/>
                <w:szCs w:val="21"/>
                <w:highlight w:val="none"/>
              </w:rPr>
              <w:t>0.05%</w:t>
            </w:r>
          </w:p>
        </w:tc>
        <w:tc>
          <w:tcPr>
            <w:tcW w:w="2186" w:type="dxa"/>
          </w:tcPr>
          <w:p>
            <w:pPr>
              <w:jc w:val="center"/>
              <w:rPr>
                <w:rFonts w:ascii="宋体" w:hAnsi="宋体" w:cs="宋体"/>
                <w:color w:val="000000"/>
                <w:szCs w:val="21"/>
                <w:highlight w:val="none"/>
              </w:rPr>
            </w:pPr>
            <w:r>
              <w:rPr>
                <w:rFonts w:hint="eastAsia" w:ascii="宋体" w:hAnsi="宋体" w:cs="宋体"/>
                <w:color w:val="000000"/>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5～10亿元</w:t>
            </w:r>
          </w:p>
        </w:tc>
        <w:tc>
          <w:tcPr>
            <w:tcW w:w="1755" w:type="dxa"/>
          </w:tcPr>
          <w:p>
            <w:pPr>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0.035%</w:t>
            </w:r>
          </w:p>
        </w:tc>
        <w:tc>
          <w:tcPr>
            <w:tcW w:w="1682" w:type="dxa"/>
          </w:tcPr>
          <w:p>
            <w:pPr>
              <w:jc w:val="center"/>
              <w:rPr>
                <w:rFonts w:ascii="宋体" w:hAnsi="宋体" w:cs="宋体"/>
                <w:color w:val="000000"/>
                <w:szCs w:val="21"/>
                <w:highlight w:val="none"/>
              </w:rPr>
            </w:pPr>
            <w:r>
              <w:rPr>
                <w:rFonts w:hint="eastAsia" w:ascii="宋体" w:hAnsi="宋体" w:cs="宋体"/>
                <w:color w:val="000000"/>
                <w:szCs w:val="21"/>
                <w:highlight w:val="none"/>
              </w:rPr>
              <w:t>0.035%</w:t>
            </w:r>
          </w:p>
        </w:tc>
        <w:tc>
          <w:tcPr>
            <w:tcW w:w="2186" w:type="dxa"/>
          </w:tcPr>
          <w:p>
            <w:pPr>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10～50亿元</w:t>
            </w:r>
          </w:p>
        </w:tc>
        <w:tc>
          <w:tcPr>
            <w:tcW w:w="1755" w:type="dxa"/>
          </w:tcPr>
          <w:p>
            <w:pPr>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0.008%</w:t>
            </w:r>
          </w:p>
        </w:tc>
        <w:tc>
          <w:tcPr>
            <w:tcW w:w="1682" w:type="dxa"/>
          </w:tcPr>
          <w:p>
            <w:pPr>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0.008%</w:t>
            </w:r>
          </w:p>
        </w:tc>
        <w:tc>
          <w:tcPr>
            <w:tcW w:w="2186" w:type="dxa"/>
          </w:tcPr>
          <w:p>
            <w:pPr>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50～100亿元</w:t>
            </w:r>
          </w:p>
        </w:tc>
        <w:tc>
          <w:tcPr>
            <w:tcW w:w="1755" w:type="dxa"/>
          </w:tcPr>
          <w:p>
            <w:pPr>
              <w:jc w:val="center"/>
              <w:rPr>
                <w:rFonts w:ascii="宋体" w:hAnsi="宋体" w:cs="宋体"/>
                <w:color w:val="000000"/>
                <w:szCs w:val="21"/>
                <w:highlight w:val="none"/>
              </w:rPr>
            </w:pPr>
            <w:r>
              <w:rPr>
                <w:rFonts w:hint="eastAsia" w:ascii="宋体" w:hAnsi="宋体" w:cs="宋体"/>
                <w:color w:val="000000"/>
                <w:szCs w:val="21"/>
                <w:highlight w:val="none"/>
              </w:rPr>
              <w:t>0.006%</w:t>
            </w:r>
          </w:p>
        </w:tc>
        <w:tc>
          <w:tcPr>
            <w:tcW w:w="1682" w:type="dxa"/>
          </w:tcPr>
          <w:p>
            <w:pPr>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0.006%</w:t>
            </w:r>
          </w:p>
        </w:tc>
        <w:tc>
          <w:tcPr>
            <w:tcW w:w="2186" w:type="dxa"/>
          </w:tcPr>
          <w:p>
            <w:pPr>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100亿以上</w:t>
            </w:r>
          </w:p>
        </w:tc>
        <w:tc>
          <w:tcPr>
            <w:tcW w:w="1755" w:type="dxa"/>
          </w:tcPr>
          <w:p>
            <w:pPr>
              <w:jc w:val="center"/>
              <w:rPr>
                <w:rFonts w:ascii="宋体" w:hAnsi="宋体" w:cs="宋体"/>
                <w:color w:val="000000"/>
                <w:szCs w:val="21"/>
                <w:highlight w:val="none"/>
              </w:rPr>
            </w:pPr>
            <w:r>
              <w:rPr>
                <w:rFonts w:hint="eastAsia" w:ascii="宋体" w:hAnsi="宋体" w:cs="宋体"/>
                <w:color w:val="000000"/>
                <w:szCs w:val="21"/>
                <w:highlight w:val="none"/>
              </w:rPr>
              <w:t>0.004%</w:t>
            </w:r>
          </w:p>
        </w:tc>
        <w:tc>
          <w:tcPr>
            <w:tcW w:w="1682" w:type="dxa"/>
          </w:tcPr>
          <w:p>
            <w:pPr>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0.004%</w:t>
            </w:r>
          </w:p>
        </w:tc>
        <w:tc>
          <w:tcPr>
            <w:tcW w:w="2186" w:type="dxa"/>
          </w:tcPr>
          <w:p>
            <w:pPr>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0.004%</w:t>
            </w:r>
          </w:p>
        </w:tc>
      </w:tr>
    </w:tbl>
    <w:p>
      <w:pPr>
        <w:widowControl/>
        <w:spacing w:line="500" w:lineRule="exact"/>
        <w:jc w:val="left"/>
        <w:rPr>
          <w:rFonts w:ascii="宋体" w:hAnsi="宋体" w:cs="宋体"/>
          <w:color w:val="000000"/>
          <w:szCs w:val="21"/>
          <w:highlight w:val="none"/>
        </w:rPr>
      </w:pPr>
      <w:r>
        <w:rPr>
          <w:rFonts w:hint="eastAsia" w:ascii="宋体" w:hAnsi="宋体" w:cs="宋体"/>
          <w:b/>
          <w:color w:val="000000"/>
          <w:highlight w:val="none"/>
        </w:rPr>
        <w:t xml:space="preserve">    </w:t>
      </w:r>
      <w:r>
        <w:rPr>
          <w:rFonts w:hint="eastAsia" w:ascii="宋体" w:hAnsi="宋体" w:cs="宋体"/>
          <w:color w:val="000000"/>
          <w:szCs w:val="21"/>
          <w:highlight w:val="none"/>
        </w:rPr>
        <w:t>27.5、成交通知书</w:t>
      </w:r>
      <w:bookmarkEnd w:id="22"/>
      <w:bookmarkEnd w:id="23"/>
      <w:bookmarkEnd w:id="24"/>
    </w:p>
    <w:p>
      <w:pPr>
        <w:widowControl/>
        <w:spacing w:line="500" w:lineRule="exact"/>
        <w:ind w:firstLine="421"/>
        <w:jc w:val="left"/>
        <w:rPr>
          <w:rFonts w:ascii="宋体" w:hAnsi="宋体" w:cs="宋体"/>
          <w:color w:val="auto"/>
          <w:szCs w:val="21"/>
          <w:highlight w:val="none"/>
        </w:rPr>
      </w:pPr>
      <w:bookmarkStart w:id="25" w:name="_Toc23509"/>
      <w:r>
        <w:rPr>
          <w:rFonts w:hint="eastAsia" w:ascii="宋体" w:hAnsi="宋体" w:cs="宋体"/>
          <w:color w:val="auto"/>
          <w:szCs w:val="21"/>
          <w:highlight w:val="none"/>
        </w:rPr>
        <w:t>采购人在评审报告推荐的成交候选人中按顺序确定成交人。采购人将向成交人发出成交通知书，同时在安庆市皖宜项目咨询管理有限公司（http://wyxmzx.com/index.html）公告成交结果。谈判响应人如有质疑、投诉，必须在成交公告规定的质疑、投诉期内以书面形式向有关机构提出。</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27.6、采购人在收到评审报告5个工作日内未按评审报告推荐的成交候选人顺序确定成交人，又不能说明合法理由的，视同按评审报告推荐的顺序确定排名第一的成交候选人为成交人。</w:t>
      </w:r>
    </w:p>
    <w:p>
      <w:pPr>
        <w:widowControl/>
        <w:spacing w:line="500" w:lineRule="exact"/>
        <w:jc w:val="left"/>
        <w:rPr>
          <w:rFonts w:ascii="宋体" w:hAnsi="宋体" w:cs="宋体"/>
          <w:color w:val="auto"/>
          <w:szCs w:val="21"/>
          <w:highlight w:val="none"/>
        </w:rPr>
      </w:pPr>
      <w:bookmarkStart w:id="26" w:name="_Toc417655920"/>
      <w:bookmarkStart w:id="27" w:name="_Toc2342"/>
      <w:bookmarkStart w:id="28" w:name="_Toc418517857"/>
      <w:r>
        <w:rPr>
          <w:rFonts w:hint="eastAsia" w:ascii="宋体" w:hAnsi="宋体" w:cs="宋体"/>
          <w:b/>
          <w:bCs/>
          <w:color w:val="auto"/>
          <w:szCs w:val="20"/>
          <w:highlight w:val="none"/>
        </w:rPr>
        <w:t xml:space="preserve">   </w:t>
      </w:r>
      <w:r>
        <w:rPr>
          <w:rFonts w:hint="eastAsia" w:ascii="宋体" w:hAnsi="宋体" w:cs="宋体"/>
          <w:color w:val="auto"/>
          <w:szCs w:val="21"/>
          <w:highlight w:val="none"/>
        </w:rPr>
        <w:t xml:space="preserve"> 27.</w:t>
      </w:r>
      <w:bookmarkEnd w:id="26"/>
      <w:bookmarkEnd w:id="27"/>
      <w:bookmarkEnd w:id="28"/>
      <w:r>
        <w:rPr>
          <w:rFonts w:hint="eastAsia" w:ascii="宋体" w:hAnsi="宋体" w:cs="宋体"/>
          <w:color w:val="auto"/>
          <w:szCs w:val="21"/>
          <w:highlight w:val="none"/>
        </w:rPr>
        <w:t>7、根据相关规定，对成交或成交结果提出质疑的，为成交或成交结果公告期限届满之日起七个工作日内以书面形式向采购人提出。建议在成交公告质疑期满（无异议）后，采购人与成交人签订采购合同。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color w:val="000000"/>
          <w:szCs w:val="21"/>
          <w:highlight w:val="none"/>
        </w:rPr>
      </w:pPr>
      <w:r>
        <w:rPr>
          <w:rFonts w:hint="eastAsia" w:ascii="宋体" w:hAnsi="宋体" w:cs="宋体"/>
          <w:b/>
          <w:bCs/>
          <w:color w:val="000000"/>
          <w:szCs w:val="21"/>
          <w:highlight w:val="none"/>
        </w:rPr>
        <w:t xml:space="preserve">    </w:t>
      </w:r>
      <w:bookmarkStart w:id="29" w:name="_Toc55202317"/>
      <w:r>
        <w:rPr>
          <w:rFonts w:hint="eastAsia" w:ascii="宋体" w:hAnsi="宋体" w:cs="宋体"/>
          <w:b/>
          <w:bCs/>
          <w:color w:val="000000"/>
          <w:szCs w:val="21"/>
          <w:highlight w:val="none"/>
        </w:rPr>
        <w:t>七、合同授予</w:t>
      </w:r>
      <w:bookmarkEnd w:id="25"/>
      <w:bookmarkEnd w:id="29"/>
    </w:p>
    <w:p>
      <w:pPr>
        <w:widowControl/>
        <w:spacing w:line="500" w:lineRule="exact"/>
        <w:jc w:val="left"/>
        <w:rPr>
          <w:rFonts w:ascii="宋体" w:hAnsi="宋体" w:cs="宋体"/>
          <w:color w:val="auto"/>
          <w:szCs w:val="21"/>
          <w:highlight w:val="none"/>
        </w:rPr>
      </w:pPr>
      <w:r>
        <w:rPr>
          <w:rFonts w:hint="eastAsia" w:ascii="宋体" w:hAnsi="宋体" w:cs="宋体"/>
          <w:color w:val="000000"/>
          <w:szCs w:val="21"/>
          <w:highlight w:val="none"/>
        </w:rPr>
        <w:t xml:space="preserve">    </w:t>
      </w:r>
      <w:r>
        <w:rPr>
          <w:rFonts w:hint="eastAsia" w:ascii="宋体" w:hAnsi="宋体" w:cs="宋体"/>
          <w:color w:val="auto"/>
          <w:szCs w:val="21"/>
          <w:highlight w:val="none"/>
        </w:rPr>
        <w:t>28、</w:t>
      </w:r>
      <w:bookmarkStart w:id="30" w:name="_Toc417655923"/>
      <w:bookmarkStart w:id="31" w:name="_Toc21358"/>
      <w:bookmarkStart w:id="32" w:name="_Toc418517860"/>
      <w:r>
        <w:rPr>
          <w:rFonts w:hint="eastAsia" w:ascii="宋体" w:hAnsi="宋体" w:cs="宋体"/>
          <w:color w:val="auto"/>
          <w:szCs w:val="21"/>
          <w:highlight w:val="none"/>
        </w:rPr>
        <w:t>签订合同</w:t>
      </w:r>
      <w:bookmarkEnd w:id="30"/>
      <w:bookmarkEnd w:id="31"/>
      <w:bookmarkEnd w:id="32"/>
    </w:p>
    <w:p>
      <w:pPr>
        <w:widowControl/>
        <w:spacing w:line="500" w:lineRule="exact"/>
        <w:jc w:val="left"/>
        <w:rPr>
          <w:rFonts w:ascii="宋体" w:hAnsi="宋体" w:cs="宋体"/>
          <w:color w:val="auto"/>
          <w:szCs w:val="21"/>
          <w:highlight w:val="none"/>
        </w:rPr>
      </w:pPr>
      <w:r>
        <w:rPr>
          <w:rFonts w:hint="eastAsia" w:ascii="宋体" w:hAnsi="宋体" w:cs="宋体"/>
          <w:color w:val="auto"/>
          <w:szCs w:val="21"/>
          <w:highlight w:val="none"/>
        </w:rPr>
        <w:t xml:space="preserve">    28.1、成交人的成交价即为合同价款。</w:t>
      </w:r>
    </w:p>
    <w:p>
      <w:pPr>
        <w:widowControl/>
        <w:spacing w:line="50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28.2、成交人在收到成交通知书起</w:t>
      </w:r>
      <w:r>
        <w:rPr>
          <w:rFonts w:ascii="宋体" w:hAnsi="宋体" w:cs="宋体"/>
          <w:color w:val="auto"/>
          <w:szCs w:val="21"/>
          <w:highlight w:val="none"/>
        </w:rPr>
        <w:t>30</w:t>
      </w:r>
      <w:r>
        <w:rPr>
          <w:rFonts w:hint="eastAsia" w:ascii="宋体" w:hAnsi="宋体" w:cs="宋体"/>
          <w:color w:val="auto"/>
          <w:szCs w:val="21"/>
          <w:highlight w:val="none"/>
        </w:rPr>
        <w:t>日内，与采购人签订合同。</w:t>
      </w:r>
    </w:p>
    <w:p>
      <w:pPr>
        <w:widowControl/>
        <w:spacing w:line="500" w:lineRule="exact"/>
        <w:ind w:firstLine="420"/>
        <w:jc w:val="left"/>
        <w:rPr>
          <w:rFonts w:ascii="宋体" w:hAnsi="宋体" w:cs="宋体"/>
          <w:color w:val="000000"/>
          <w:szCs w:val="21"/>
          <w:highlight w:val="none"/>
        </w:rPr>
      </w:pPr>
      <w:r>
        <w:rPr>
          <w:rFonts w:hint="eastAsia" w:ascii="宋体" w:hAnsi="宋体" w:cs="宋体"/>
          <w:color w:val="auto"/>
          <w:szCs w:val="21"/>
          <w:highlight w:val="none"/>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color w:val="000000"/>
          <w:szCs w:val="21"/>
          <w:highlight w:val="none"/>
        </w:rPr>
      </w:pPr>
      <w:r>
        <w:rPr>
          <w:rFonts w:hint="eastAsia" w:ascii="宋体" w:hAnsi="宋体" w:cs="宋体"/>
          <w:b/>
          <w:bCs/>
          <w:color w:val="000000"/>
          <w:szCs w:val="21"/>
          <w:highlight w:val="none"/>
        </w:rPr>
        <w:t xml:space="preserve">    29、履约保证金</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29.1、成交人在签订合同前必须按竞争性谈判文件的约定，及时、足额向采购人提交履约保证金。</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29.2、若成交人不能按谈判响应人须知前附表执行，采购人可在无须征得成交人同意的情况下，不与其签订合同。给采购单位造成的损失，成交人还应当予以赔偿。</w:t>
      </w:r>
    </w:p>
    <w:p>
      <w:pPr>
        <w:widowControl/>
        <w:spacing w:line="5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29.3、履约保证金按合同条款</w:t>
      </w:r>
      <w:r>
        <w:rPr>
          <w:rFonts w:hint="eastAsia" w:ascii="宋体" w:hAnsi="宋体" w:cs="宋体"/>
          <w:color w:val="000000"/>
          <w:kern w:val="0"/>
          <w:szCs w:val="21"/>
          <w:highlight w:val="none"/>
        </w:rPr>
        <w:t>约定</w:t>
      </w:r>
      <w:r>
        <w:rPr>
          <w:rFonts w:hint="eastAsia" w:ascii="宋体" w:hAnsi="宋体" w:cs="宋体"/>
          <w:color w:val="000000"/>
          <w:szCs w:val="21"/>
          <w:highlight w:val="none"/>
        </w:rPr>
        <w:t>退还。</w:t>
      </w:r>
    </w:p>
    <w:p>
      <w:pPr>
        <w:widowControl/>
        <w:spacing w:line="500" w:lineRule="exact"/>
        <w:ind w:firstLine="420"/>
        <w:jc w:val="left"/>
        <w:rPr>
          <w:rFonts w:ascii="宋体" w:hAnsi="宋体" w:cs="宋体"/>
          <w:b/>
          <w:bCs/>
          <w:color w:val="000000"/>
          <w:szCs w:val="21"/>
          <w:highlight w:val="none"/>
        </w:rPr>
      </w:pPr>
      <w:r>
        <w:rPr>
          <w:rFonts w:hint="eastAsia" w:ascii="宋体" w:hAnsi="宋体" w:cs="宋体"/>
          <w:b/>
          <w:bCs/>
          <w:color w:val="000000"/>
          <w:szCs w:val="21"/>
          <w:highlight w:val="none"/>
          <w:lang w:val="en-US" w:eastAsia="zh-CN"/>
        </w:rPr>
        <w:t>30</w:t>
      </w:r>
      <w:r>
        <w:rPr>
          <w:rFonts w:hint="eastAsia" w:ascii="宋体" w:hAnsi="宋体" w:cs="宋体"/>
          <w:b/>
          <w:bCs/>
          <w:color w:val="000000"/>
          <w:szCs w:val="21"/>
          <w:highlight w:val="none"/>
        </w:rPr>
        <w:t>、未尽事宜</w:t>
      </w:r>
    </w:p>
    <w:p>
      <w:pPr>
        <w:widowControl/>
        <w:spacing w:line="5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按《中华人民共和国政府采购法》、《中华人民共和国政府采购法实施条例》及其他有关法律法规规定执行。</w:t>
      </w:r>
    </w:p>
    <w:p>
      <w:pPr>
        <w:widowControl/>
        <w:jc w:val="left"/>
        <w:rPr>
          <w:rFonts w:ascii="宋体" w:hAnsi="宋体" w:cs="宋体"/>
          <w:color w:val="000000"/>
          <w:szCs w:val="21"/>
          <w:highlight w:val="none"/>
        </w:rPr>
      </w:pPr>
      <w:r>
        <w:rPr>
          <w:rFonts w:ascii="宋体" w:hAnsi="宋体" w:cs="宋体"/>
          <w:color w:val="000000"/>
          <w:szCs w:val="21"/>
          <w:highlight w:val="none"/>
        </w:rPr>
        <w:br w:type="page"/>
      </w:r>
    </w:p>
    <w:p>
      <w:pPr>
        <w:pStyle w:val="5"/>
        <w:rPr>
          <w:rFonts w:ascii="宋体" w:hAnsi="宋体" w:cs="宋体"/>
          <w:color w:val="000000"/>
          <w:highlight w:val="none"/>
        </w:rPr>
      </w:pPr>
      <w:bookmarkStart w:id="33" w:name="_Toc18076"/>
      <w:bookmarkStart w:id="34" w:name="_Toc55202318"/>
      <w:bookmarkStart w:id="35" w:name="_Toc941"/>
      <w:r>
        <w:rPr>
          <w:rFonts w:hint="eastAsia" w:ascii="宋体" w:hAnsi="宋体" w:cs="宋体"/>
          <w:color w:val="000000"/>
          <w:highlight w:val="none"/>
        </w:rPr>
        <w:t>第三章 服务需求及技术要求</w:t>
      </w:r>
      <w:bookmarkEnd w:id="33"/>
      <w:bookmarkEnd w:id="34"/>
      <w:bookmarkEnd w:id="35"/>
    </w:p>
    <w:p>
      <w:pPr>
        <w:spacing w:line="360" w:lineRule="auto"/>
        <w:rPr>
          <w:rFonts w:ascii="宋体" w:hAnsi="宋体" w:cs="宋体"/>
          <w:b/>
          <w:bCs/>
          <w:color w:val="000000"/>
          <w:szCs w:val="21"/>
          <w:highlight w:val="none"/>
        </w:rPr>
      </w:pPr>
    </w:p>
    <w:p>
      <w:pPr>
        <w:widowControl/>
        <w:spacing w:line="500" w:lineRule="exact"/>
        <w:ind w:firstLine="420"/>
        <w:jc w:val="left"/>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本项目针对安庆博物馆文物数字化采集、加工、存储、管理与利用需求，在整合现有数字化保护成果基础上，集成文物云计算、大数据、人工智能和移动互联网等技术，应用先进的数字化采集技术和多媒体展示技术，再结合有效的管理机制，搭建一个具有开放式架构，高度可扩展和可演化的文物数字化保护体系，以适应博物馆日渐增长的文物数字化保护与利用需求。最大程度将安庆博物馆建设成符合时代特点、满足多元需求的智慧博物馆，提升博物馆展示、服务、运营、管理的智能化水平，打造集历史探索、文物欣赏、艺术展示、文化休闲、服务娱乐于一体，更多适应不同观众群的多样性的公共文化空间，讲好“安庆故事”，成为长三角文化地标。中标单位需完成“安庆博物馆智慧博物馆系统信息化项目”建设方案编制工作，建设方案质量及深度必须满足国家现行的行业设计文件编制深度规定及行业相关规范要求，并顺利通过有关审查。</w:t>
      </w:r>
    </w:p>
    <w:p>
      <w:pPr>
        <w:rPr>
          <w:rFonts w:ascii="宋体" w:hAnsi="宋体" w:cs="宋体"/>
          <w:b/>
          <w:bCs/>
          <w:color w:val="000000"/>
          <w:highlight w:val="none"/>
        </w:rPr>
      </w:pPr>
    </w:p>
    <w:p>
      <w:pPr>
        <w:rPr>
          <w:rFonts w:ascii="宋体" w:hAnsi="宋体" w:cs="宋体"/>
          <w:b/>
          <w:bCs/>
          <w:color w:val="000000"/>
          <w:highlight w:val="none"/>
        </w:rPr>
      </w:pPr>
    </w:p>
    <w:p>
      <w:pPr>
        <w:rPr>
          <w:rFonts w:ascii="宋体" w:hAnsi="宋体" w:cs="宋体"/>
          <w:b/>
          <w:bCs/>
          <w:color w:val="000000"/>
          <w:highlight w:val="none"/>
        </w:rPr>
      </w:pPr>
    </w:p>
    <w:p>
      <w:pPr>
        <w:rPr>
          <w:rFonts w:ascii="宋体" w:hAnsi="宋体" w:cs="宋体"/>
          <w:b/>
          <w:bCs/>
          <w:color w:val="000000"/>
          <w:highlight w:val="none"/>
        </w:rPr>
      </w:pPr>
    </w:p>
    <w:p>
      <w:pPr>
        <w:rPr>
          <w:rFonts w:ascii="宋体" w:hAnsi="宋体" w:cs="宋体"/>
          <w:b/>
          <w:bCs/>
          <w:color w:val="000000"/>
          <w:highlight w:val="none"/>
        </w:rPr>
      </w:pPr>
    </w:p>
    <w:p>
      <w:pPr>
        <w:rPr>
          <w:rFonts w:ascii="宋体" w:hAnsi="宋体" w:cs="宋体"/>
          <w:b/>
          <w:bCs/>
          <w:color w:val="000000"/>
          <w:highlight w:val="none"/>
        </w:rPr>
      </w:pPr>
    </w:p>
    <w:p>
      <w:pPr>
        <w:rPr>
          <w:rFonts w:ascii="宋体" w:hAnsi="宋体" w:cs="宋体"/>
          <w:b/>
          <w:bCs/>
          <w:color w:val="000000"/>
          <w:highlight w:val="none"/>
        </w:rPr>
      </w:pPr>
    </w:p>
    <w:p>
      <w:pPr>
        <w:rPr>
          <w:rFonts w:ascii="宋体" w:hAnsi="宋体" w:cs="宋体"/>
          <w:b/>
          <w:bCs/>
          <w:color w:val="000000"/>
          <w:highlight w:val="none"/>
        </w:rPr>
      </w:pPr>
    </w:p>
    <w:p>
      <w:pPr>
        <w:rPr>
          <w:rFonts w:ascii="宋体" w:hAnsi="宋体" w:cs="宋体"/>
          <w:b/>
          <w:bCs/>
          <w:color w:val="000000"/>
          <w:highlight w:val="none"/>
        </w:rPr>
      </w:pPr>
    </w:p>
    <w:p>
      <w:pPr>
        <w:pStyle w:val="24"/>
        <w:rPr>
          <w:rFonts w:ascii="宋体" w:hAnsi="宋体" w:cs="宋体"/>
          <w:b/>
          <w:bCs/>
          <w:color w:val="000000"/>
          <w:highlight w:val="none"/>
        </w:rPr>
      </w:pPr>
    </w:p>
    <w:p>
      <w:pPr>
        <w:rPr>
          <w:rFonts w:ascii="宋体" w:hAnsi="宋体" w:cs="宋体"/>
          <w:b/>
          <w:bCs/>
          <w:color w:val="000000"/>
          <w:highlight w:val="none"/>
        </w:rPr>
      </w:pPr>
    </w:p>
    <w:p>
      <w:pPr>
        <w:pStyle w:val="24"/>
        <w:rPr>
          <w:rFonts w:ascii="宋体" w:hAnsi="宋体" w:cs="宋体"/>
          <w:b/>
          <w:bCs/>
          <w:color w:val="000000"/>
          <w:highlight w:val="none"/>
        </w:rPr>
      </w:pPr>
    </w:p>
    <w:p>
      <w:pPr>
        <w:rPr>
          <w:rFonts w:ascii="宋体" w:hAnsi="宋体" w:cs="宋体"/>
          <w:b/>
          <w:bCs/>
          <w:color w:val="000000"/>
          <w:highlight w:val="none"/>
        </w:rPr>
      </w:pPr>
    </w:p>
    <w:p>
      <w:pPr>
        <w:pStyle w:val="24"/>
        <w:rPr>
          <w:rFonts w:ascii="宋体" w:hAnsi="宋体" w:cs="宋体"/>
          <w:b/>
          <w:bCs/>
          <w:color w:val="000000"/>
          <w:highlight w:val="none"/>
        </w:rPr>
      </w:pPr>
    </w:p>
    <w:p>
      <w:pPr>
        <w:rPr>
          <w:rFonts w:ascii="宋体" w:hAnsi="宋体" w:cs="宋体"/>
          <w:b/>
          <w:bCs/>
          <w:color w:val="000000"/>
          <w:highlight w:val="none"/>
        </w:rPr>
      </w:pPr>
    </w:p>
    <w:p>
      <w:pPr>
        <w:pStyle w:val="24"/>
        <w:rPr>
          <w:rFonts w:ascii="宋体" w:hAnsi="宋体" w:cs="宋体"/>
          <w:b/>
          <w:bCs/>
          <w:color w:val="000000"/>
          <w:highlight w:val="none"/>
        </w:rPr>
      </w:pPr>
    </w:p>
    <w:p/>
    <w:p>
      <w:pPr>
        <w:rPr>
          <w:rFonts w:ascii="宋体" w:hAnsi="宋体" w:cs="宋体"/>
          <w:b/>
          <w:bCs/>
          <w:color w:val="000000"/>
          <w:highlight w:val="none"/>
        </w:rPr>
      </w:pPr>
    </w:p>
    <w:p>
      <w:pPr>
        <w:pStyle w:val="24"/>
      </w:pPr>
    </w:p>
    <w:p/>
    <w:p>
      <w:pPr>
        <w:rPr>
          <w:rFonts w:ascii="宋体" w:hAnsi="宋体" w:cs="宋体"/>
          <w:b/>
          <w:bCs/>
          <w:color w:val="000000"/>
          <w:highlight w:val="none"/>
        </w:rPr>
      </w:pPr>
    </w:p>
    <w:p>
      <w:pPr>
        <w:pStyle w:val="5"/>
        <w:rPr>
          <w:rFonts w:ascii="宋体" w:hAnsi="宋体" w:cs="宋体"/>
          <w:color w:val="000000"/>
          <w:highlight w:val="none"/>
        </w:rPr>
      </w:pPr>
      <w:bookmarkStart w:id="36" w:name="_Toc55202319"/>
      <w:bookmarkStart w:id="37" w:name="_Toc7241"/>
      <w:bookmarkStart w:id="38" w:name="_Toc8064"/>
      <w:r>
        <w:rPr>
          <w:rFonts w:hint="eastAsia" w:ascii="宋体" w:hAnsi="宋体" w:cs="宋体"/>
          <w:color w:val="000000"/>
          <w:highlight w:val="none"/>
        </w:rPr>
        <w:t>第四章  合同主要条款</w:t>
      </w:r>
      <w:bookmarkEnd w:id="36"/>
      <w:bookmarkEnd w:id="37"/>
      <w:bookmarkEnd w:id="38"/>
    </w:p>
    <w:p>
      <w:pPr>
        <w:tabs>
          <w:tab w:val="left" w:pos="3640"/>
        </w:tabs>
        <w:autoSpaceDE w:val="0"/>
        <w:autoSpaceDN w:val="0"/>
        <w:spacing w:line="360" w:lineRule="auto"/>
        <w:rPr>
          <w:rFonts w:ascii="宋体" w:hAnsi="宋体" w:cs="宋体"/>
          <w:color w:val="000000"/>
          <w:szCs w:val="21"/>
          <w:highlight w:val="none"/>
          <w:u w:val="single"/>
        </w:rPr>
      </w:pPr>
      <w:bookmarkStart w:id="39" w:name="_Toc26873"/>
      <w:r>
        <w:rPr>
          <w:rFonts w:hint="eastAsia" w:ascii="宋体" w:hAnsi="宋体" w:cs="宋体"/>
          <w:color w:val="000000"/>
          <w:szCs w:val="21"/>
          <w:highlight w:val="none"/>
        </w:rPr>
        <w:t>买方（采购人）：</w:t>
      </w:r>
      <w:r>
        <w:rPr>
          <w:rFonts w:hint="eastAsia" w:ascii="宋体" w:hAnsi="宋体" w:cs="宋体"/>
          <w:color w:val="000000"/>
          <w:szCs w:val="21"/>
          <w:highlight w:val="none"/>
          <w:u w:val="single"/>
        </w:rPr>
        <w:t xml:space="preserve">                           </w:t>
      </w:r>
    </w:p>
    <w:p>
      <w:pPr>
        <w:tabs>
          <w:tab w:val="left" w:pos="3640"/>
        </w:tabs>
        <w:autoSpaceDE w:val="0"/>
        <w:autoSpaceDN w:val="0"/>
        <w:spacing w:line="360" w:lineRule="auto"/>
        <w:rPr>
          <w:rFonts w:ascii="宋体" w:hAnsi="宋体" w:cs="宋体"/>
          <w:color w:val="000000"/>
          <w:szCs w:val="21"/>
          <w:highlight w:val="none"/>
          <w:u w:val="single"/>
        </w:rPr>
      </w:pPr>
      <w:r>
        <w:rPr>
          <w:rFonts w:hint="eastAsia" w:ascii="宋体" w:hAnsi="宋体" w:cs="宋体"/>
          <w:color w:val="000000"/>
          <w:szCs w:val="21"/>
          <w:highlight w:val="none"/>
        </w:rPr>
        <w:t>卖方（</w:t>
      </w:r>
      <w:r>
        <w:rPr>
          <w:rFonts w:hint="eastAsia" w:ascii="宋体" w:hAnsi="宋体" w:cs="宋体"/>
          <w:b/>
          <w:color w:val="000000" w:themeColor="text1"/>
          <w:szCs w:val="21"/>
          <w:highlight w:val="none"/>
        </w:rPr>
        <w:t>成交</w:t>
      </w:r>
      <w:r>
        <w:rPr>
          <w:rFonts w:hint="eastAsia" w:ascii="宋体" w:hAnsi="宋体" w:cs="宋体"/>
          <w:color w:val="000000" w:themeColor="text1"/>
          <w:szCs w:val="21"/>
          <w:highlight w:val="none"/>
        </w:rPr>
        <w:t>人</w:t>
      </w:r>
      <w:r>
        <w:rPr>
          <w:rFonts w:hint="eastAsia" w:ascii="宋体" w:hAnsi="宋体" w:cs="宋体"/>
          <w:color w:val="000000"/>
          <w:szCs w:val="21"/>
          <w:highlight w:val="none"/>
        </w:rPr>
        <w:t>）：</w:t>
      </w:r>
      <w:r>
        <w:rPr>
          <w:rFonts w:hint="eastAsia" w:ascii="宋体" w:hAnsi="宋体" w:cs="宋体"/>
          <w:color w:val="000000"/>
          <w:szCs w:val="21"/>
          <w:highlight w:val="none"/>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根据《中华人民共和国民法典》及</w:t>
      </w:r>
      <w:r>
        <w:rPr>
          <w:rFonts w:hint="eastAsia" w:ascii="宋体" w:hAnsi="宋体" w:cs="宋体"/>
          <w:color w:val="000000"/>
          <w:szCs w:val="21"/>
          <w:highlight w:val="none"/>
          <w:u w:val="single"/>
        </w:rPr>
        <w:t xml:space="preserve">                                （项目名称）</w:t>
      </w:r>
      <w:r>
        <w:rPr>
          <w:rFonts w:hint="eastAsia" w:ascii="宋体" w:hAnsi="宋体" w:cs="宋体"/>
          <w:color w:val="000000"/>
          <w:szCs w:val="21"/>
          <w:highlight w:val="none"/>
        </w:rPr>
        <w:t>的谈判文件、响应文件等，买、卖双方经协商一致，签订如下合同条款，并共同遵守。</w:t>
      </w:r>
    </w:p>
    <w:p>
      <w:pPr>
        <w:numPr>
          <w:ilvl w:val="0"/>
          <w:numId w:val="3"/>
        </w:numPr>
        <w:tabs>
          <w:tab w:val="left" w:pos="3640"/>
        </w:tabs>
        <w:autoSpaceDE w:val="0"/>
        <w:autoSpaceDN w:val="0"/>
        <w:spacing w:line="360" w:lineRule="auto"/>
        <w:ind w:firstLine="422" w:firstLineChars="200"/>
        <w:rPr>
          <w:rFonts w:ascii="宋体" w:hAnsi="宋体" w:cs="宋体"/>
          <w:b/>
          <w:color w:val="000000"/>
          <w:spacing w:val="8"/>
          <w:szCs w:val="21"/>
          <w:highlight w:val="none"/>
        </w:rPr>
      </w:pPr>
      <w:r>
        <w:rPr>
          <w:rFonts w:hint="eastAsia" w:ascii="宋体" w:hAnsi="宋体" w:cs="宋体"/>
          <w:b/>
          <w:color w:val="000000"/>
          <w:szCs w:val="21"/>
          <w:highlight w:val="none"/>
        </w:rPr>
        <w:t>服务内容</w:t>
      </w:r>
    </w:p>
    <w:p>
      <w:pPr>
        <w:tabs>
          <w:tab w:val="left" w:pos="3640"/>
        </w:tabs>
        <w:autoSpaceDE w:val="0"/>
        <w:autoSpaceDN w:val="0"/>
        <w:spacing w:line="360" w:lineRule="auto"/>
        <w:ind w:left="422"/>
        <w:rPr>
          <w:rFonts w:ascii="宋体" w:hAnsi="宋体" w:cs="宋体"/>
          <w:b/>
          <w:color w:val="000000"/>
          <w:spacing w:val="8"/>
          <w:szCs w:val="21"/>
          <w:highlight w:val="none"/>
        </w:rPr>
      </w:pPr>
      <w:r>
        <w:rPr>
          <w:rFonts w:hint="eastAsia" w:ascii="宋体" w:hAnsi="宋体" w:cs="宋体"/>
          <w:b/>
          <w:color w:val="000000"/>
          <w:szCs w:val="21"/>
          <w:highlight w:val="none"/>
        </w:rPr>
        <w:t>服务内容：</w:t>
      </w:r>
    </w:p>
    <w:p>
      <w:pPr>
        <w:tabs>
          <w:tab w:val="left" w:pos="3640"/>
        </w:tabs>
        <w:autoSpaceDE w:val="0"/>
        <w:autoSpaceDN w:val="0"/>
        <w:spacing w:line="360" w:lineRule="auto"/>
        <w:ind w:left="422"/>
        <w:rPr>
          <w:rFonts w:ascii="宋体" w:hAnsi="宋体" w:cs="宋体"/>
          <w:b/>
          <w:color w:val="000000"/>
          <w:spacing w:val="8"/>
          <w:szCs w:val="21"/>
          <w:highlight w:val="none"/>
        </w:rPr>
      </w:pPr>
      <w:r>
        <w:rPr>
          <w:rFonts w:hint="eastAsia" w:ascii="宋体" w:hAnsi="宋体" w:cs="宋体"/>
          <w:b/>
          <w:color w:val="000000"/>
          <w:szCs w:val="21"/>
          <w:highlight w:val="none"/>
        </w:rPr>
        <w:t>合同金额：</w:t>
      </w:r>
    </w:p>
    <w:p>
      <w:pPr>
        <w:tabs>
          <w:tab w:val="left" w:pos="3640"/>
        </w:tabs>
        <w:autoSpaceDE w:val="0"/>
        <w:autoSpaceDN w:val="0"/>
        <w:spacing w:line="360" w:lineRule="auto"/>
        <w:ind w:firstLine="422" w:firstLineChars="200"/>
        <w:rPr>
          <w:rFonts w:ascii="宋体" w:hAnsi="宋体" w:cs="宋体"/>
          <w:color w:val="000000"/>
          <w:szCs w:val="21"/>
          <w:highlight w:val="none"/>
        </w:rPr>
      </w:pPr>
      <w:r>
        <w:rPr>
          <w:rFonts w:hint="eastAsia" w:ascii="宋体" w:hAnsi="宋体" w:cs="宋体"/>
          <w:b/>
          <w:color w:val="000000"/>
          <w:szCs w:val="21"/>
          <w:highlight w:val="none"/>
        </w:rPr>
        <w:t>二、服务期：</w:t>
      </w:r>
      <w:r>
        <w:rPr>
          <w:rFonts w:hint="eastAsia" w:ascii="宋体" w:hAnsi="宋体" w:cs="宋体"/>
          <w:color w:val="000000"/>
          <w:szCs w:val="21"/>
          <w:highlight w:val="none"/>
        </w:rPr>
        <w:t>自合同签订之日起</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w:t>
      </w:r>
    </w:p>
    <w:p>
      <w:pPr>
        <w:tabs>
          <w:tab w:val="left" w:pos="3640"/>
        </w:tabs>
        <w:autoSpaceDE w:val="0"/>
        <w:autoSpaceDN w:val="0"/>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三、服务人员配备：</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四、服务地点：</w:t>
      </w:r>
    </w:p>
    <w:p>
      <w:pPr>
        <w:tabs>
          <w:tab w:val="left" w:pos="3640"/>
        </w:tabs>
        <w:autoSpaceDE w:val="0"/>
        <w:autoSpaceDN w:val="0"/>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五、验收：</w:t>
      </w:r>
    </w:p>
    <w:p>
      <w:pPr>
        <w:tabs>
          <w:tab w:val="left" w:pos="3640"/>
        </w:tabs>
        <w:autoSpaceDE w:val="0"/>
        <w:autoSpaceDN w:val="0"/>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六、付款方式：</w:t>
      </w:r>
    </w:p>
    <w:p>
      <w:pPr>
        <w:tabs>
          <w:tab w:val="left" w:pos="3640"/>
        </w:tabs>
        <w:autoSpaceDE w:val="0"/>
        <w:autoSpaceDN w:val="0"/>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七、履约保证金退还：</w:t>
      </w:r>
    </w:p>
    <w:p>
      <w:pPr>
        <w:tabs>
          <w:tab w:val="left" w:pos="3640"/>
        </w:tabs>
        <w:autoSpaceDE w:val="0"/>
        <w:autoSpaceDN w:val="0"/>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八、违约责任</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1、买方无正当理由拒绝接受服务，买方向卖方偿付合同价的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w:t>
      </w:r>
      <w:r>
        <w:rPr>
          <w:rFonts w:hint="eastAsia" w:ascii="宋体" w:hAnsi="宋体" w:cs="宋体"/>
          <w:color w:val="000000"/>
          <w:szCs w:val="21"/>
          <w:highlight w:val="none"/>
        </w:rPr>
        <w:t>的违约金；</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2、买方无正当理由逾期付款的，买方向卖方每日偿付合同价的</w:t>
      </w:r>
      <w:r>
        <w:rPr>
          <w:rFonts w:hint="eastAsia" w:ascii="宋体" w:hAnsi="宋体" w:cs="宋体"/>
          <w:color w:val="000000"/>
          <w:spacing w:val="8"/>
          <w:szCs w:val="21"/>
          <w:highlight w:val="none"/>
          <w:u w:val="single"/>
        </w:rPr>
        <w:t xml:space="preserve">     </w:t>
      </w:r>
      <w:r>
        <w:rPr>
          <w:rFonts w:hint="eastAsia" w:ascii="宋体" w:hAnsi="宋体" w:cs="宋体"/>
          <w:color w:val="000000"/>
          <w:szCs w:val="21"/>
          <w:highlight w:val="none"/>
        </w:rPr>
        <w:t>‰的违约金；</w:t>
      </w:r>
    </w:p>
    <w:p>
      <w:pPr>
        <w:tabs>
          <w:tab w:val="left" w:pos="3640"/>
        </w:tabs>
        <w:autoSpaceDE w:val="0"/>
        <w:autoSpaceDN w:val="0"/>
        <w:spacing w:line="500" w:lineRule="exact"/>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3、卖方不能提供服务的，卖方向买方支付合同价的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500" w:lineRule="exact"/>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4、卖方逾期提供服务的，卖方向买方每日偿付合同价的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spacing w:line="500" w:lineRule="exact"/>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rPr>
        <w:t>九、解决合同纠纷方式</w:t>
      </w:r>
    </w:p>
    <w:p>
      <w:pPr>
        <w:tabs>
          <w:tab w:val="left" w:pos="3640"/>
        </w:tabs>
        <w:autoSpaceDE w:val="0"/>
        <w:autoSpaceDN w:val="0"/>
        <w:spacing w:line="500" w:lineRule="exact"/>
        <w:ind w:firstLine="452" w:firstLineChars="200"/>
        <w:rPr>
          <w:rFonts w:ascii="宋体" w:hAnsi="宋体" w:cs="宋体"/>
          <w:color w:val="000000"/>
          <w:spacing w:val="8"/>
          <w:szCs w:val="21"/>
          <w:highlight w:val="none"/>
        </w:rPr>
      </w:pPr>
      <w:r>
        <w:rPr>
          <w:rFonts w:hint="eastAsia" w:ascii="宋体" w:hAnsi="宋体" w:cs="宋体"/>
          <w:color w:val="000000"/>
          <w:spacing w:val="8"/>
          <w:szCs w:val="21"/>
          <w:highlight w:val="none"/>
        </w:rPr>
        <w:t>本合同如发生纠纷，买卖双方应当及时协商解决，协商不成时，按以下第（</w:t>
      </w:r>
      <w:r>
        <w:rPr>
          <w:rFonts w:hint="eastAsia" w:ascii="宋体" w:hAnsi="宋体"/>
          <w:spacing w:val="8"/>
          <w:szCs w:val="21"/>
          <w:highlight w:val="none"/>
        </w:rPr>
        <w:t>①</w:t>
      </w:r>
      <w:r>
        <w:rPr>
          <w:rFonts w:hint="eastAsia" w:ascii="宋体" w:hAnsi="宋体" w:cs="宋体"/>
          <w:color w:val="000000"/>
          <w:spacing w:val="8"/>
          <w:szCs w:val="21"/>
          <w:highlight w:val="none"/>
        </w:rPr>
        <w:t>）项方式处理：①根据《中华人民共和国仲裁法》的规定向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b/>
          <w:color w:val="000000"/>
          <w:spacing w:val="8"/>
          <w:szCs w:val="21"/>
          <w:highlight w:val="none"/>
        </w:rPr>
      </w:pPr>
      <w:r>
        <w:rPr>
          <w:rFonts w:hint="eastAsia" w:ascii="宋体" w:hAnsi="宋体"/>
          <w:b/>
          <w:color w:val="000000"/>
          <w:spacing w:val="8"/>
          <w:szCs w:val="21"/>
          <w:highlight w:val="none"/>
        </w:rPr>
        <w:t>十、</w:t>
      </w:r>
      <w:r>
        <w:rPr>
          <w:rFonts w:hint="eastAsia" w:ascii="宋体" w:hAnsi="宋体" w:cs="宋体"/>
          <w:b/>
          <w:color w:val="000000"/>
          <w:szCs w:val="21"/>
          <w:highlight w:val="none"/>
        </w:rPr>
        <w:t>本合同组成及解释先后顺序：</w:t>
      </w:r>
    </w:p>
    <w:p>
      <w:pPr>
        <w:tabs>
          <w:tab w:val="left" w:pos="3640"/>
        </w:tabs>
        <w:autoSpaceDE w:val="0"/>
        <w:autoSpaceDN w:val="0"/>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1、成交通知书；</w:t>
      </w:r>
    </w:p>
    <w:p>
      <w:pPr>
        <w:tabs>
          <w:tab w:val="left" w:pos="3640"/>
        </w:tabs>
        <w:autoSpaceDE w:val="0"/>
        <w:autoSpaceDN w:val="0"/>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2、竞争性谈判文件；</w:t>
      </w:r>
    </w:p>
    <w:p>
      <w:pPr>
        <w:tabs>
          <w:tab w:val="left" w:pos="3640"/>
        </w:tabs>
        <w:autoSpaceDE w:val="0"/>
        <w:autoSpaceDN w:val="0"/>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3、本合同文本；</w:t>
      </w:r>
    </w:p>
    <w:p>
      <w:pPr>
        <w:tabs>
          <w:tab w:val="left" w:pos="3640"/>
        </w:tabs>
        <w:autoSpaceDE w:val="0"/>
        <w:autoSpaceDN w:val="0"/>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4、成交人的</w:t>
      </w:r>
      <w:r>
        <w:rPr>
          <w:rFonts w:hint="eastAsia" w:ascii="宋体" w:hAnsi="宋体" w:cs="宋体"/>
          <w:color w:val="000000" w:themeColor="text1"/>
          <w:szCs w:val="21"/>
          <w:highlight w:val="none"/>
          <w:lang w:eastAsia="zh-CN"/>
        </w:rPr>
        <w:t>谈判响应文件</w:t>
      </w:r>
      <w:r>
        <w:rPr>
          <w:rFonts w:hint="eastAsia" w:ascii="宋体" w:hAnsi="宋体" w:cs="宋体"/>
          <w:color w:val="000000" w:themeColor="text1"/>
          <w:szCs w:val="21"/>
          <w:highlight w:val="none"/>
        </w:rPr>
        <w:t>；　</w:t>
      </w:r>
    </w:p>
    <w:p>
      <w:pPr>
        <w:tabs>
          <w:tab w:val="left" w:pos="3640"/>
        </w:tabs>
        <w:autoSpaceDE w:val="0"/>
        <w:autoSpaceDN w:val="0"/>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5、其他补充约定事项。</w:t>
      </w:r>
    </w:p>
    <w:p>
      <w:pPr>
        <w:spacing w:line="360" w:lineRule="auto"/>
        <w:ind w:firstLine="413" w:firstLineChars="196"/>
        <w:rPr>
          <w:rFonts w:ascii="宋体" w:hAnsi="宋体"/>
          <w:b/>
          <w:color w:val="000000"/>
          <w:spacing w:val="8"/>
          <w:szCs w:val="21"/>
          <w:highlight w:val="none"/>
          <w:u w:val="single"/>
        </w:rPr>
      </w:pPr>
      <w:r>
        <w:rPr>
          <w:rFonts w:hint="eastAsia" w:ascii="宋体" w:hAnsi="宋体" w:cs="宋体"/>
          <w:b/>
          <w:color w:val="000000"/>
          <w:szCs w:val="21"/>
          <w:highlight w:val="none"/>
        </w:rPr>
        <w:t>十一、其他约定事项：</w:t>
      </w:r>
      <w:r>
        <w:rPr>
          <w:rFonts w:hint="eastAsia" w:ascii="宋体" w:hAnsi="宋体"/>
          <w:color w:val="000000"/>
          <w:spacing w:val="8"/>
          <w:szCs w:val="21"/>
          <w:highlight w:val="none"/>
          <w:u w:val="single"/>
        </w:rPr>
        <w:t xml:space="preserve"> 　　　　　　　　　　　  </w:t>
      </w:r>
      <w:r>
        <w:rPr>
          <w:rFonts w:hint="eastAsia" w:ascii="宋体" w:hAnsi="宋体"/>
          <w:b/>
          <w:color w:val="000000"/>
          <w:spacing w:val="8"/>
          <w:szCs w:val="21"/>
          <w:highlight w:val="none"/>
          <w:u w:val="single"/>
        </w:rPr>
        <w:t xml:space="preserve">                               </w:t>
      </w:r>
    </w:p>
    <w:p>
      <w:pPr>
        <w:spacing w:line="360" w:lineRule="auto"/>
        <w:ind w:left="-178" w:leftChars="-85" w:firstLine="177" w:firstLineChars="78"/>
        <w:rPr>
          <w:rFonts w:ascii="宋体" w:hAnsi="宋体"/>
          <w:color w:val="000000"/>
          <w:spacing w:val="8"/>
          <w:szCs w:val="21"/>
          <w:highlight w:val="none"/>
          <w:u w:val="single"/>
        </w:rPr>
      </w:pPr>
      <w:r>
        <w:rPr>
          <w:rFonts w:hint="eastAsia" w:ascii="宋体" w:hAnsi="宋体"/>
          <w:b/>
          <w:color w:val="000000"/>
          <w:spacing w:val="8"/>
          <w:szCs w:val="21"/>
          <w:highlight w:val="none"/>
          <w:u w:val="single"/>
        </w:rPr>
        <w:t xml:space="preserve">                                                       </w:t>
      </w:r>
      <w:r>
        <w:rPr>
          <w:rFonts w:hint="eastAsia" w:ascii="宋体" w:hAnsi="宋体"/>
          <w:color w:val="000000"/>
          <w:spacing w:val="8"/>
          <w:szCs w:val="21"/>
          <w:highlight w:val="none"/>
          <w:u w:val="single"/>
        </w:rPr>
        <w:t xml:space="preserve">                    </w:t>
      </w:r>
    </w:p>
    <w:p>
      <w:pPr>
        <w:spacing w:line="360" w:lineRule="auto"/>
        <w:ind w:left="-178" w:leftChars="-85" w:firstLine="176" w:firstLineChars="78"/>
        <w:rPr>
          <w:rFonts w:ascii="宋体" w:hAnsi="宋体"/>
          <w:color w:val="000000"/>
          <w:spacing w:val="8"/>
          <w:szCs w:val="21"/>
          <w:highlight w:val="none"/>
          <w:u w:val="single"/>
        </w:rPr>
      </w:pPr>
      <w:r>
        <w:rPr>
          <w:rFonts w:hint="eastAsia" w:ascii="宋体" w:hAnsi="宋体"/>
          <w:color w:val="000000"/>
          <w:spacing w:val="8"/>
          <w:szCs w:val="21"/>
          <w:highlight w:val="none"/>
          <w:u w:val="single"/>
        </w:rPr>
        <w:t xml:space="preserve">                                                                           </w:t>
      </w:r>
    </w:p>
    <w:p>
      <w:pPr>
        <w:spacing w:line="360" w:lineRule="auto"/>
        <w:ind w:left="-178" w:leftChars="-85" w:firstLine="176" w:firstLineChars="78"/>
        <w:rPr>
          <w:rFonts w:ascii="宋体" w:hAnsi="宋体" w:cs="宋体"/>
          <w:color w:val="000000"/>
          <w:spacing w:val="8"/>
          <w:szCs w:val="21"/>
          <w:highlight w:val="none"/>
          <w:u w:val="single"/>
        </w:rPr>
      </w:pPr>
    </w:p>
    <w:p>
      <w:pPr>
        <w:tabs>
          <w:tab w:val="left" w:pos="3640"/>
        </w:tabs>
        <w:autoSpaceDE w:val="0"/>
        <w:autoSpaceDN w:val="0"/>
        <w:spacing w:line="360" w:lineRule="auto"/>
        <w:ind w:firstLine="420" w:firstLineChars="200"/>
        <w:rPr>
          <w:rFonts w:ascii="宋体" w:hAnsi="宋体" w:cs="宋体"/>
          <w:color w:val="000000"/>
          <w:szCs w:val="21"/>
          <w:highlight w:val="none"/>
        </w:rPr>
      </w:pPr>
    </w:p>
    <w:p>
      <w:pPr>
        <w:tabs>
          <w:tab w:val="left" w:pos="3640"/>
        </w:tabs>
        <w:autoSpaceDE w:val="0"/>
        <w:autoSpaceDN w:val="0"/>
        <w:spacing w:line="480" w:lineRule="auto"/>
        <w:rPr>
          <w:rFonts w:ascii="宋体" w:hAnsi="宋体" w:cs="宋体"/>
          <w:color w:val="000000"/>
          <w:szCs w:val="21"/>
          <w:highlight w:val="none"/>
        </w:rPr>
      </w:pPr>
      <w:r>
        <w:rPr>
          <w:rFonts w:hint="eastAsia" w:ascii="宋体" w:hAnsi="宋体" w:cs="宋体"/>
          <w:color w:val="000000"/>
          <w:szCs w:val="21"/>
          <w:highlight w:val="none"/>
        </w:rPr>
        <w:t xml:space="preserve">买  方                       卖   方                         </w:t>
      </w:r>
    </w:p>
    <w:p>
      <w:pPr>
        <w:tabs>
          <w:tab w:val="left" w:pos="3640"/>
        </w:tabs>
        <w:autoSpaceDE w:val="0"/>
        <w:autoSpaceDN w:val="0"/>
        <w:spacing w:line="480" w:lineRule="auto"/>
        <w:rPr>
          <w:rFonts w:ascii="宋体" w:hAnsi="宋体" w:cs="宋体"/>
          <w:color w:val="000000"/>
          <w:szCs w:val="21"/>
          <w:highlight w:val="none"/>
        </w:rPr>
      </w:pPr>
      <w:r>
        <w:rPr>
          <w:rFonts w:hint="eastAsia" w:ascii="宋体" w:hAnsi="宋体" w:cs="宋体"/>
          <w:color w:val="000000"/>
          <w:szCs w:val="21"/>
          <w:highlight w:val="none"/>
        </w:rPr>
        <w:t>采购人（盖章）：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hint="eastAsia" w:ascii="宋体" w:hAnsi="宋体" w:cs="宋体"/>
          <w:color w:val="000000" w:themeColor="text1"/>
          <w:szCs w:val="21"/>
          <w:highlight w:val="none"/>
        </w:rPr>
        <w:t>成交人（盖章）：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pPr>
        <w:tabs>
          <w:tab w:val="left" w:pos="3640"/>
        </w:tabs>
        <w:autoSpaceDE w:val="0"/>
        <w:autoSpaceDN w:val="0"/>
        <w:spacing w:line="480" w:lineRule="auto"/>
        <w:rPr>
          <w:rFonts w:ascii="宋体" w:hAnsi="宋体" w:cs="宋体"/>
          <w:color w:val="000000"/>
          <w:szCs w:val="21"/>
          <w:highlight w:val="none"/>
        </w:rPr>
      </w:pPr>
      <w:r>
        <w:rPr>
          <w:rFonts w:hint="eastAsia" w:ascii="宋体" w:hAnsi="宋体" w:cs="宋体"/>
          <w:color w:val="000000"/>
          <w:szCs w:val="21"/>
          <w:highlight w:val="none"/>
        </w:rPr>
        <w:t>法人代表：</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法人代表：</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pPr>
        <w:tabs>
          <w:tab w:val="left" w:pos="3640"/>
        </w:tabs>
        <w:autoSpaceDE w:val="0"/>
        <w:autoSpaceDN w:val="0"/>
        <w:spacing w:line="480" w:lineRule="auto"/>
        <w:rPr>
          <w:rFonts w:ascii="宋体" w:hAnsi="宋体" w:cs="宋体"/>
          <w:color w:val="000000"/>
          <w:szCs w:val="21"/>
          <w:highlight w:val="none"/>
        </w:rPr>
      </w:pPr>
      <w:r>
        <w:rPr>
          <w:rFonts w:hint="eastAsia" w:ascii="宋体" w:hAnsi="宋体" w:cs="宋体"/>
          <w:color w:val="000000"/>
          <w:szCs w:val="21"/>
          <w:highlight w:val="none"/>
        </w:rPr>
        <w:t>联系人：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联系人：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pPr>
        <w:tabs>
          <w:tab w:val="left" w:pos="3640"/>
        </w:tabs>
        <w:autoSpaceDE w:val="0"/>
        <w:autoSpaceDN w:val="0"/>
        <w:spacing w:line="480" w:lineRule="auto"/>
        <w:rPr>
          <w:rFonts w:ascii="宋体" w:hAnsi="宋体" w:cs="宋体"/>
          <w:color w:val="000000"/>
          <w:szCs w:val="21"/>
          <w:highlight w:val="none"/>
        </w:rPr>
      </w:pPr>
      <w:r>
        <w:rPr>
          <w:rFonts w:hint="eastAsia" w:ascii="宋体" w:hAnsi="宋体" w:cs="宋体"/>
          <w:color w:val="000000"/>
          <w:szCs w:val="21"/>
          <w:highlight w:val="none"/>
        </w:rPr>
        <w:t>地址：</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地址：</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pPr>
        <w:tabs>
          <w:tab w:val="left" w:pos="3640"/>
        </w:tabs>
        <w:autoSpaceDE w:val="0"/>
        <w:autoSpaceDN w:val="0"/>
        <w:spacing w:line="48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年   月    日                年   月    日                  </w:t>
      </w:r>
    </w:p>
    <w:p>
      <w:pPr>
        <w:widowControl/>
        <w:jc w:val="left"/>
        <w:rPr>
          <w:rFonts w:ascii="宋体" w:hAnsi="宋体" w:cs="宋体"/>
          <w:color w:val="000000"/>
          <w:szCs w:val="21"/>
          <w:highlight w:val="none"/>
        </w:rPr>
      </w:pPr>
      <w:r>
        <w:rPr>
          <w:rFonts w:ascii="宋体" w:hAnsi="宋体" w:cs="宋体"/>
          <w:color w:val="000000"/>
          <w:szCs w:val="21"/>
          <w:highlight w:val="none"/>
        </w:rPr>
        <w:br w:type="page"/>
      </w:r>
    </w:p>
    <w:p>
      <w:pPr>
        <w:pStyle w:val="5"/>
        <w:rPr>
          <w:rFonts w:ascii="宋体" w:hAnsi="宋体" w:cs="宋体"/>
          <w:color w:val="000000"/>
          <w:highlight w:val="none"/>
        </w:rPr>
      </w:pPr>
      <w:bookmarkStart w:id="40" w:name="_Toc55202320"/>
      <w:bookmarkStart w:id="41" w:name="_Toc20690"/>
      <w:r>
        <w:rPr>
          <w:rFonts w:hint="eastAsia" w:ascii="宋体" w:hAnsi="宋体" w:cs="宋体"/>
          <w:color w:val="000000"/>
          <w:highlight w:val="none"/>
        </w:rPr>
        <w:t>第五章   谈判响应文件格式</w:t>
      </w:r>
      <w:bookmarkEnd w:id="39"/>
      <w:bookmarkEnd w:id="40"/>
      <w:bookmarkEnd w:id="41"/>
    </w:p>
    <w:p>
      <w:pPr>
        <w:spacing w:line="360" w:lineRule="auto"/>
        <w:jc w:val="center"/>
        <w:rPr>
          <w:rFonts w:ascii="宋体" w:hAnsi="宋体" w:cs="宋体"/>
          <w:b/>
          <w:color w:val="000000"/>
          <w:spacing w:val="20"/>
          <w:sz w:val="36"/>
          <w:szCs w:val="36"/>
          <w:highlight w:val="none"/>
          <w:u w:val="single"/>
        </w:rPr>
      </w:pPr>
    </w:p>
    <w:p>
      <w:pPr>
        <w:spacing w:line="360" w:lineRule="auto"/>
        <w:jc w:val="center"/>
        <w:rPr>
          <w:rFonts w:ascii="宋体" w:hAnsi="宋体" w:cs="宋体"/>
          <w:b/>
          <w:color w:val="000000"/>
          <w:spacing w:val="20"/>
          <w:sz w:val="36"/>
          <w:szCs w:val="36"/>
          <w:highlight w:val="none"/>
        </w:rPr>
      </w:pPr>
      <w:r>
        <w:rPr>
          <w:rFonts w:hint="eastAsia" w:ascii="宋体" w:hAnsi="宋体" w:cs="宋体"/>
          <w:b/>
          <w:color w:val="000000"/>
          <w:spacing w:val="20"/>
          <w:sz w:val="36"/>
          <w:szCs w:val="36"/>
          <w:highlight w:val="none"/>
          <w:u w:val="single"/>
        </w:rPr>
        <w:t xml:space="preserve">                              </w:t>
      </w:r>
      <w:r>
        <w:rPr>
          <w:rFonts w:hint="eastAsia" w:ascii="宋体" w:hAnsi="宋体" w:cs="宋体"/>
          <w:b/>
          <w:color w:val="000000"/>
          <w:spacing w:val="20"/>
          <w:sz w:val="36"/>
          <w:szCs w:val="36"/>
          <w:highlight w:val="none"/>
        </w:rPr>
        <w:t>采购</w:t>
      </w:r>
    </w:p>
    <w:p>
      <w:pPr>
        <w:spacing w:line="360" w:lineRule="auto"/>
        <w:rPr>
          <w:rFonts w:ascii="宋体" w:hAnsi="宋体" w:cs="宋体"/>
          <w:color w:val="000000"/>
          <w:sz w:val="24"/>
          <w:highlight w:val="none"/>
        </w:rPr>
      </w:pPr>
    </w:p>
    <w:p>
      <w:pPr>
        <w:spacing w:line="360" w:lineRule="auto"/>
        <w:rPr>
          <w:rFonts w:ascii="宋体" w:hAnsi="宋体" w:cs="宋体"/>
          <w:color w:val="000000"/>
          <w:sz w:val="24"/>
          <w:highlight w:val="none"/>
        </w:rPr>
      </w:pPr>
    </w:p>
    <w:p>
      <w:pPr>
        <w:spacing w:line="800" w:lineRule="exact"/>
        <w:jc w:val="center"/>
        <w:rPr>
          <w:rFonts w:ascii="宋体" w:hAnsi="宋体" w:cs="宋体"/>
          <w:b/>
          <w:color w:val="000000"/>
          <w:sz w:val="72"/>
          <w:szCs w:val="72"/>
          <w:highlight w:val="none"/>
        </w:rPr>
      </w:pPr>
      <w:r>
        <w:rPr>
          <w:rFonts w:hint="eastAsia" w:ascii="宋体" w:hAnsi="宋体" w:cs="宋体"/>
          <w:b/>
          <w:color w:val="000000"/>
          <w:sz w:val="72"/>
          <w:szCs w:val="72"/>
          <w:highlight w:val="none"/>
        </w:rPr>
        <w:t>谈</w:t>
      </w:r>
    </w:p>
    <w:p>
      <w:pPr>
        <w:spacing w:line="800" w:lineRule="exact"/>
        <w:jc w:val="center"/>
        <w:rPr>
          <w:rFonts w:ascii="宋体" w:hAnsi="宋体" w:cs="宋体"/>
          <w:b/>
          <w:color w:val="000000"/>
          <w:sz w:val="72"/>
          <w:szCs w:val="72"/>
          <w:highlight w:val="none"/>
        </w:rPr>
      </w:pPr>
      <w:r>
        <w:rPr>
          <w:rFonts w:hint="eastAsia" w:ascii="宋体" w:hAnsi="宋体" w:cs="宋体"/>
          <w:b/>
          <w:color w:val="000000"/>
          <w:sz w:val="72"/>
          <w:szCs w:val="72"/>
          <w:highlight w:val="none"/>
        </w:rPr>
        <w:t>判</w:t>
      </w:r>
    </w:p>
    <w:p>
      <w:pPr>
        <w:spacing w:line="800" w:lineRule="exact"/>
        <w:jc w:val="center"/>
        <w:rPr>
          <w:rFonts w:ascii="宋体" w:hAnsi="宋体" w:cs="宋体"/>
          <w:b/>
          <w:color w:val="000000"/>
          <w:sz w:val="72"/>
          <w:szCs w:val="72"/>
          <w:highlight w:val="none"/>
        </w:rPr>
      </w:pPr>
      <w:r>
        <w:rPr>
          <w:rFonts w:hint="eastAsia" w:ascii="宋体" w:hAnsi="宋体" w:cs="宋体"/>
          <w:b/>
          <w:color w:val="000000"/>
          <w:sz w:val="72"/>
          <w:szCs w:val="72"/>
          <w:highlight w:val="none"/>
        </w:rPr>
        <w:t>响</w:t>
      </w:r>
    </w:p>
    <w:p>
      <w:pPr>
        <w:spacing w:line="800" w:lineRule="exact"/>
        <w:jc w:val="center"/>
        <w:rPr>
          <w:rFonts w:ascii="宋体" w:hAnsi="宋体" w:cs="宋体"/>
          <w:b/>
          <w:color w:val="000000"/>
          <w:sz w:val="72"/>
          <w:szCs w:val="72"/>
          <w:highlight w:val="none"/>
        </w:rPr>
      </w:pPr>
      <w:r>
        <w:rPr>
          <w:rFonts w:hint="eastAsia" w:ascii="宋体" w:hAnsi="宋体" w:cs="宋体"/>
          <w:b/>
          <w:color w:val="000000"/>
          <w:sz w:val="72"/>
          <w:szCs w:val="72"/>
          <w:highlight w:val="none"/>
        </w:rPr>
        <w:t>应</w:t>
      </w:r>
    </w:p>
    <w:p>
      <w:pPr>
        <w:spacing w:line="800" w:lineRule="exact"/>
        <w:jc w:val="center"/>
        <w:rPr>
          <w:rFonts w:ascii="宋体" w:hAnsi="宋体" w:cs="宋体"/>
          <w:b/>
          <w:color w:val="000000"/>
          <w:sz w:val="72"/>
          <w:szCs w:val="72"/>
          <w:highlight w:val="none"/>
        </w:rPr>
      </w:pPr>
      <w:r>
        <w:rPr>
          <w:rFonts w:hint="eastAsia" w:ascii="宋体" w:hAnsi="宋体" w:cs="宋体"/>
          <w:b/>
          <w:color w:val="000000"/>
          <w:sz w:val="72"/>
          <w:szCs w:val="72"/>
          <w:highlight w:val="none"/>
        </w:rPr>
        <w:t>文</w:t>
      </w:r>
    </w:p>
    <w:p>
      <w:pPr>
        <w:spacing w:line="360" w:lineRule="auto"/>
        <w:jc w:val="center"/>
        <w:rPr>
          <w:rFonts w:ascii="宋体" w:hAnsi="宋体" w:cs="宋体"/>
          <w:color w:val="000000"/>
          <w:sz w:val="24"/>
          <w:highlight w:val="none"/>
        </w:rPr>
      </w:pPr>
      <w:r>
        <w:rPr>
          <w:rFonts w:hint="eastAsia" w:ascii="宋体" w:hAnsi="宋体" w:cs="宋体"/>
          <w:b/>
          <w:color w:val="000000"/>
          <w:sz w:val="72"/>
          <w:szCs w:val="72"/>
          <w:highlight w:val="none"/>
        </w:rPr>
        <w:t>件</w:t>
      </w:r>
    </w:p>
    <w:p>
      <w:pPr>
        <w:spacing w:line="360" w:lineRule="auto"/>
        <w:ind w:firstLine="148" w:firstLineChars="49"/>
        <w:rPr>
          <w:rFonts w:ascii="宋体" w:hAnsi="宋体" w:cs="宋体"/>
          <w:b/>
          <w:color w:val="000000"/>
          <w:sz w:val="30"/>
          <w:szCs w:val="30"/>
          <w:highlight w:val="none"/>
        </w:rPr>
      </w:pPr>
      <w:r>
        <w:rPr>
          <w:rFonts w:hint="eastAsia" w:ascii="宋体" w:hAnsi="宋体" w:cs="宋体"/>
          <w:b/>
          <w:color w:val="000000"/>
          <w:sz w:val="30"/>
          <w:szCs w:val="30"/>
          <w:highlight w:val="none"/>
        </w:rPr>
        <w:t xml:space="preserve">采购人名称： </w:t>
      </w:r>
      <w:r>
        <w:rPr>
          <w:rFonts w:hint="eastAsia" w:ascii="宋体" w:hAnsi="宋体" w:cs="宋体"/>
          <w:b/>
          <w:color w:val="000000"/>
          <w:sz w:val="30"/>
          <w:szCs w:val="30"/>
          <w:highlight w:val="none"/>
          <w:u w:val="single"/>
        </w:rPr>
        <w:t xml:space="preserve">                                             </w:t>
      </w:r>
    </w:p>
    <w:p>
      <w:pPr>
        <w:spacing w:line="360" w:lineRule="auto"/>
        <w:rPr>
          <w:rFonts w:ascii="宋体" w:hAnsi="宋体" w:cs="宋体"/>
          <w:b/>
          <w:color w:val="000000"/>
          <w:sz w:val="30"/>
          <w:szCs w:val="30"/>
          <w:highlight w:val="none"/>
        </w:rPr>
      </w:pPr>
    </w:p>
    <w:p>
      <w:pPr>
        <w:spacing w:line="360" w:lineRule="auto"/>
        <w:ind w:firstLine="148" w:firstLineChars="49"/>
        <w:rPr>
          <w:rFonts w:ascii="宋体" w:hAnsi="宋体" w:cs="宋体"/>
          <w:b/>
          <w:color w:val="000000"/>
          <w:sz w:val="30"/>
          <w:szCs w:val="30"/>
          <w:highlight w:val="none"/>
        </w:rPr>
      </w:pPr>
      <w:r>
        <w:rPr>
          <w:rFonts w:hint="eastAsia" w:ascii="宋体" w:hAnsi="宋体" w:cs="宋体"/>
          <w:b/>
          <w:color w:val="000000"/>
          <w:sz w:val="30"/>
          <w:szCs w:val="30"/>
          <w:highlight w:val="none"/>
        </w:rPr>
        <w:t xml:space="preserve">谈判响应人名称： </w:t>
      </w:r>
      <w:r>
        <w:rPr>
          <w:rFonts w:hint="eastAsia" w:ascii="宋体" w:hAnsi="宋体" w:cs="宋体"/>
          <w:b/>
          <w:color w:val="000000"/>
          <w:sz w:val="30"/>
          <w:szCs w:val="30"/>
          <w:highlight w:val="none"/>
          <w:u w:val="single"/>
        </w:rPr>
        <w:t xml:space="preserve">                                   （盖 章）           </w:t>
      </w:r>
    </w:p>
    <w:p>
      <w:pPr>
        <w:spacing w:line="360" w:lineRule="auto"/>
        <w:rPr>
          <w:rFonts w:ascii="宋体" w:hAnsi="宋体" w:cs="宋体"/>
          <w:b/>
          <w:color w:val="000000"/>
          <w:sz w:val="30"/>
          <w:szCs w:val="30"/>
          <w:highlight w:val="none"/>
        </w:rPr>
      </w:pPr>
    </w:p>
    <w:p>
      <w:pPr>
        <w:spacing w:line="360" w:lineRule="auto"/>
        <w:ind w:firstLine="148" w:firstLineChars="49"/>
        <w:rPr>
          <w:rFonts w:ascii="宋体" w:hAnsi="宋体" w:cs="宋体"/>
          <w:b/>
          <w:color w:val="000000"/>
          <w:sz w:val="30"/>
          <w:szCs w:val="30"/>
          <w:highlight w:val="none"/>
        </w:rPr>
      </w:pPr>
      <w:r>
        <w:rPr>
          <w:rFonts w:hint="eastAsia" w:ascii="宋体" w:hAnsi="宋体" w:cs="宋体"/>
          <w:b/>
          <w:color w:val="000000"/>
          <w:sz w:val="30"/>
          <w:szCs w:val="30"/>
          <w:highlight w:val="none"/>
        </w:rPr>
        <w:t>法定代表人：</w:t>
      </w:r>
      <w:r>
        <w:rPr>
          <w:rFonts w:hint="eastAsia" w:ascii="宋体" w:hAnsi="宋体" w:cs="宋体"/>
          <w:b/>
          <w:color w:val="000000"/>
          <w:sz w:val="30"/>
          <w:szCs w:val="30"/>
          <w:highlight w:val="none"/>
          <w:u w:val="single"/>
        </w:rPr>
        <w:t xml:space="preserve">                                       (盖 章) </w:t>
      </w:r>
    </w:p>
    <w:p>
      <w:pPr>
        <w:spacing w:line="360" w:lineRule="auto"/>
        <w:rPr>
          <w:rFonts w:ascii="宋体" w:hAnsi="宋体" w:cs="宋体"/>
          <w:color w:val="000000"/>
          <w:sz w:val="30"/>
          <w:szCs w:val="30"/>
          <w:highlight w:val="none"/>
        </w:rPr>
      </w:pPr>
    </w:p>
    <w:p>
      <w:pPr>
        <w:spacing w:line="360" w:lineRule="auto"/>
        <w:jc w:val="center"/>
        <w:rPr>
          <w:rFonts w:ascii="宋体" w:hAnsi="宋体" w:cs="宋体"/>
          <w:b/>
          <w:color w:val="000000"/>
          <w:sz w:val="30"/>
          <w:szCs w:val="30"/>
          <w:highlight w:val="none"/>
        </w:rPr>
      </w:pPr>
      <w:r>
        <w:rPr>
          <w:rFonts w:hint="eastAsia" w:ascii="宋体" w:hAnsi="宋体" w:cs="宋体"/>
          <w:b/>
          <w:color w:val="000000"/>
          <w:sz w:val="30"/>
          <w:szCs w:val="30"/>
          <w:highlight w:val="none"/>
        </w:rPr>
        <w:t>日期：</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rPr>
        <w:t>年</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rPr>
        <w:t>月</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rPr>
        <w:t>日</w:t>
      </w:r>
    </w:p>
    <w:p>
      <w:pPr>
        <w:widowControl/>
        <w:jc w:val="left"/>
        <w:rPr>
          <w:rFonts w:ascii="宋体" w:hAnsi="宋体" w:cs="宋体"/>
          <w:b/>
          <w:color w:val="000000"/>
          <w:sz w:val="30"/>
          <w:szCs w:val="30"/>
          <w:highlight w:val="none"/>
        </w:rPr>
      </w:pPr>
      <w:r>
        <w:rPr>
          <w:rFonts w:ascii="宋体" w:hAnsi="宋体" w:cs="宋体"/>
          <w:b/>
          <w:color w:val="000000"/>
          <w:sz w:val="30"/>
          <w:szCs w:val="30"/>
          <w:highlight w:val="none"/>
        </w:rPr>
        <w:br w:type="page"/>
      </w:r>
    </w:p>
    <w:p>
      <w:pPr>
        <w:jc w:val="center"/>
        <w:rPr>
          <w:rFonts w:ascii="宋体" w:hAnsi="宋体" w:cs="宋体"/>
          <w:b/>
          <w:color w:val="000000"/>
          <w:sz w:val="30"/>
          <w:szCs w:val="30"/>
          <w:highlight w:val="none"/>
        </w:rPr>
      </w:pPr>
      <w:r>
        <w:rPr>
          <w:rFonts w:hint="eastAsia" w:ascii="宋体" w:hAnsi="宋体" w:cs="宋体"/>
          <w:b/>
          <w:color w:val="000000"/>
          <w:sz w:val="30"/>
          <w:szCs w:val="30"/>
          <w:highlight w:val="none"/>
        </w:rPr>
        <w:t>目 录</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一、谈判响应函</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二、服务报价表（首轮）、最终报价表</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三、服务内容及质量要求响应表</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四、诚信谈判响应承诺书</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五、</w:t>
      </w:r>
      <w:r>
        <w:rPr>
          <w:rFonts w:hint="eastAsia" w:ascii="宋体" w:hAnsi="宋体" w:cs="宋体"/>
          <w:color w:val="000000"/>
          <w:sz w:val="24"/>
          <w:highlight w:val="none"/>
          <w:lang w:val="en-US" w:eastAsia="zh-CN"/>
        </w:rPr>
        <w:t>谈判</w:t>
      </w:r>
      <w:r>
        <w:rPr>
          <w:rFonts w:hint="eastAsia" w:ascii="宋体" w:hAnsi="宋体" w:cs="宋体"/>
          <w:color w:val="000000"/>
          <w:sz w:val="24"/>
          <w:highlight w:val="none"/>
        </w:rPr>
        <w:t>证明文件</w:t>
      </w:r>
    </w:p>
    <w:p>
      <w:pPr>
        <w:widowControl/>
        <w:jc w:val="left"/>
        <w:rPr>
          <w:rFonts w:ascii="宋体" w:hAnsi="宋体" w:cs="宋体"/>
          <w:color w:val="000000"/>
          <w:sz w:val="24"/>
          <w:highlight w:val="none"/>
        </w:rPr>
      </w:pPr>
      <w:r>
        <w:rPr>
          <w:rFonts w:ascii="宋体" w:hAnsi="宋体" w:cs="宋体"/>
          <w:color w:val="000000"/>
          <w:sz w:val="24"/>
          <w:highlight w:val="none"/>
        </w:rPr>
        <w:br w:type="page"/>
      </w:r>
    </w:p>
    <w:p>
      <w:pPr>
        <w:pStyle w:val="8"/>
        <w:jc w:val="center"/>
        <w:rPr>
          <w:rFonts w:hAnsi="宋体" w:cs="宋体"/>
          <w:color w:val="000000"/>
          <w:highlight w:val="none"/>
        </w:rPr>
      </w:pPr>
      <w:bookmarkStart w:id="42" w:name="_Toc13905"/>
      <w:bookmarkStart w:id="43" w:name="_Toc55202321"/>
      <w:r>
        <w:rPr>
          <w:rFonts w:hint="eastAsia" w:hAnsi="宋体" w:cs="宋体"/>
          <w:color w:val="000000"/>
          <w:highlight w:val="none"/>
        </w:rPr>
        <w:t>一、谈判响应函</w:t>
      </w:r>
      <w:bookmarkEnd w:id="42"/>
      <w:bookmarkEnd w:id="43"/>
    </w:p>
    <w:p>
      <w:pPr>
        <w:tabs>
          <w:tab w:val="left" w:pos="5580"/>
        </w:tabs>
        <w:spacing w:before="120" w:line="360" w:lineRule="auto"/>
        <w:rPr>
          <w:rFonts w:ascii="宋体" w:hAnsi="宋体" w:cs="宋体"/>
          <w:color w:val="000000"/>
          <w:szCs w:val="21"/>
          <w:highlight w:val="none"/>
        </w:rPr>
      </w:pPr>
      <w:r>
        <w:rPr>
          <w:rFonts w:hint="eastAsia" w:ascii="宋体" w:hAnsi="宋体" w:cs="宋体"/>
          <w:color w:val="000000"/>
          <w:szCs w:val="21"/>
          <w:highlight w:val="none"/>
        </w:rPr>
        <w:t>致：</w:t>
      </w:r>
      <w:r>
        <w:rPr>
          <w:rFonts w:hint="eastAsia" w:ascii="宋体" w:hAnsi="宋体" w:cs="宋体"/>
          <w:color w:val="000000"/>
          <w:szCs w:val="21"/>
          <w:highlight w:val="none"/>
          <w:u w:val="single"/>
        </w:rPr>
        <w:t>安庆博物馆</w:t>
      </w:r>
      <w:r>
        <w:rPr>
          <w:rFonts w:hint="eastAsia" w:ascii="宋体" w:hAnsi="宋体" w:cs="宋体"/>
          <w:color w:val="000000"/>
          <w:szCs w:val="21"/>
          <w:highlight w:val="none"/>
        </w:rPr>
        <w:t>（采购人名称）</w:t>
      </w:r>
    </w:p>
    <w:p>
      <w:pPr>
        <w:pStyle w:val="13"/>
        <w:tabs>
          <w:tab w:val="left" w:pos="5580"/>
        </w:tabs>
        <w:spacing w:line="360" w:lineRule="auto"/>
        <w:ind w:firstLine="420" w:firstLineChars="200"/>
        <w:rPr>
          <w:rFonts w:hAnsi="宋体" w:cs="宋体"/>
          <w:color w:val="000000"/>
          <w:szCs w:val="21"/>
          <w:highlight w:val="none"/>
        </w:rPr>
      </w:pPr>
      <w:r>
        <w:rPr>
          <w:rFonts w:hint="eastAsia" w:hAnsi="宋体" w:cs="宋体"/>
          <w:color w:val="000000"/>
          <w:szCs w:val="21"/>
          <w:highlight w:val="none"/>
        </w:rPr>
        <w:t>1、根据贵方</w:t>
      </w:r>
      <w:r>
        <w:rPr>
          <w:rFonts w:hint="eastAsia" w:hAnsi="宋体" w:cs="宋体"/>
          <w:color w:val="000000"/>
          <w:szCs w:val="21"/>
          <w:highlight w:val="none"/>
          <w:u w:val="single"/>
        </w:rPr>
        <w:t>CG-AQ-W2022-</w:t>
      </w:r>
      <w:r>
        <w:rPr>
          <w:rFonts w:hint="eastAsia" w:hAnsi="宋体" w:cs="宋体"/>
          <w:color w:val="000000"/>
          <w:szCs w:val="21"/>
          <w:highlight w:val="none"/>
          <w:u w:val="single"/>
          <w:lang w:eastAsia="zh-CN"/>
        </w:rPr>
        <w:t>0</w:t>
      </w:r>
      <w:r>
        <w:rPr>
          <w:rFonts w:hint="eastAsia" w:hAnsi="宋体" w:cs="宋体"/>
          <w:color w:val="000000"/>
          <w:szCs w:val="21"/>
          <w:highlight w:val="none"/>
          <w:u w:val="single"/>
          <w:lang w:val="en-US" w:eastAsia="zh-CN"/>
        </w:rPr>
        <w:t xml:space="preserve">63 </w:t>
      </w:r>
      <w:r>
        <w:rPr>
          <w:rFonts w:hint="eastAsia" w:hAnsi="宋体" w:cs="宋体"/>
          <w:color w:val="000000"/>
          <w:szCs w:val="21"/>
          <w:highlight w:val="none"/>
        </w:rPr>
        <w:t>号竞争性谈判</w:t>
      </w:r>
      <w:r>
        <w:rPr>
          <w:rFonts w:hint="eastAsia" w:hAnsi="宋体" w:cs="宋体"/>
          <w:color w:val="000000"/>
          <w:szCs w:val="21"/>
          <w:highlight w:val="none"/>
          <w:lang w:eastAsia="zh-CN"/>
        </w:rPr>
        <w:t>公告</w:t>
      </w:r>
      <w:r>
        <w:rPr>
          <w:rFonts w:hint="eastAsia" w:hAnsi="宋体" w:cs="宋体"/>
          <w:color w:val="000000"/>
          <w:szCs w:val="21"/>
          <w:highlight w:val="none"/>
        </w:rPr>
        <w:t>，我方决定参加贵方组织的</w:t>
      </w:r>
      <w:r>
        <w:rPr>
          <w:rFonts w:hint="eastAsia" w:hAnsi="宋体" w:cs="宋体"/>
          <w:color w:val="000000"/>
          <w:szCs w:val="21"/>
          <w:highlight w:val="none"/>
          <w:u w:val="single"/>
        </w:rPr>
        <w:t>智慧文旅综合管理平台之安庆智慧博物馆系统建设信息化项目</w:t>
      </w:r>
      <w:r>
        <w:rPr>
          <w:rFonts w:hint="eastAsia" w:hAnsi="宋体" w:cs="宋体"/>
          <w:color w:val="000000"/>
          <w:szCs w:val="21"/>
          <w:highlight w:val="none"/>
          <w:u w:val="single"/>
          <w:lang w:eastAsia="zh-CN"/>
        </w:rPr>
        <w:t>建设方案</w:t>
      </w:r>
      <w:r>
        <w:rPr>
          <w:rFonts w:hint="eastAsia" w:hAnsi="宋体" w:cs="宋体"/>
          <w:color w:val="000000"/>
          <w:szCs w:val="21"/>
          <w:highlight w:val="none"/>
          <w:u w:val="single"/>
        </w:rPr>
        <w:t>编制</w:t>
      </w:r>
      <w:r>
        <w:rPr>
          <w:rFonts w:hint="eastAsia" w:hAnsi="宋体" w:cs="宋体"/>
          <w:color w:val="000000"/>
          <w:szCs w:val="21"/>
          <w:highlight w:val="none"/>
        </w:rPr>
        <w:t>的采购活动。我方授权</w:t>
      </w:r>
      <w:r>
        <w:rPr>
          <w:rFonts w:hint="eastAsia" w:hAnsi="宋体" w:cs="宋体"/>
          <w:color w:val="000000"/>
          <w:szCs w:val="21"/>
          <w:highlight w:val="none"/>
          <w:u w:val="single"/>
        </w:rPr>
        <w:t xml:space="preserve">        </w:t>
      </w:r>
      <w:r>
        <w:rPr>
          <w:rFonts w:hint="eastAsia" w:hAnsi="宋体" w:cs="宋体"/>
          <w:color w:val="000000"/>
          <w:szCs w:val="21"/>
          <w:highlight w:val="none"/>
        </w:rPr>
        <w:t>(姓名和职务)代表我方</w:t>
      </w:r>
      <w:r>
        <w:rPr>
          <w:rFonts w:hint="eastAsia" w:hAnsi="宋体" w:cs="宋体"/>
          <w:color w:val="000000"/>
          <w:szCs w:val="21"/>
          <w:highlight w:val="none"/>
          <w:u w:val="single"/>
        </w:rPr>
        <w:t xml:space="preserve">                    </w:t>
      </w:r>
      <w:r>
        <w:rPr>
          <w:rFonts w:hint="eastAsia" w:hAnsi="宋体" w:cs="宋体"/>
          <w:color w:val="000000"/>
          <w:szCs w:val="21"/>
          <w:highlight w:val="none"/>
        </w:rPr>
        <w:t>（谈判响应人的名称）全权处理本项目谈判响应的有关事宜。</w:t>
      </w:r>
    </w:p>
    <w:p>
      <w:pPr>
        <w:pStyle w:val="13"/>
        <w:tabs>
          <w:tab w:val="left" w:pos="5580"/>
        </w:tabs>
        <w:spacing w:line="360" w:lineRule="auto"/>
        <w:ind w:firstLine="420" w:firstLineChars="200"/>
        <w:rPr>
          <w:rFonts w:hAnsi="宋体" w:cs="宋体"/>
          <w:color w:val="000000"/>
          <w:szCs w:val="21"/>
          <w:highlight w:val="none"/>
        </w:rPr>
      </w:pPr>
      <w:r>
        <w:rPr>
          <w:rFonts w:hint="eastAsia" w:hAnsi="宋体" w:cs="宋体"/>
          <w:color w:val="000000"/>
          <w:szCs w:val="21"/>
          <w:highlight w:val="none"/>
        </w:rPr>
        <w:t>2、我方愿意按照竞争性谈判文件约定的各项要求，向采购人提供所需的服务，报价为人民币（大写）</w:t>
      </w:r>
      <w:r>
        <w:rPr>
          <w:rFonts w:hint="eastAsia" w:hAnsi="宋体" w:cs="宋体"/>
          <w:color w:val="000000"/>
          <w:szCs w:val="21"/>
          <w:highlight w:val="none"/>
          <w:u w:val="single"/>
        </w:rPr>
        <w:t xml:space="preserve">                     </w:t>
      </w:r>
      <w:r>
        <w:rPr>
          <w:rFonts w:hint="eastAsia" w:hAnsi="宋体" w:cs="宋体"/>
          <w:color w:val="000000"/>
          <w:szCs w:val="21"/>
          <w:highlight w:val="none"/>
        </w:rPr>
        <w:t>(小写)</w:t>
      </w:r>
      <w:r>
        <w:rPr>
          <w:rFonts w:hint="eastAsia" w:hAnsi="宋体" w:cs="宋体"/>
          <w:color w:val="000000"/>
          <w:szCs w:val="21"/>
          <w:highlight w:val="none"/>
          <w:u w:val="single"/>
        </w:rPr>
        <w:t xml:space="preserve">                  元</w:t>
      </w:r>
      <w:r>
        <w:rPr>
          <w:rFonts w:hint="eastAsia" w:hAnsi="宋体" w:cs="宋体"/>
          <w:color w:val="000000"/>
          <w:szCs w:val="21"/>
          <w:highlight w:val="none"/>
        </w:rPr>
        <w:t>。</w:t>
      </w:r>
    </w:p>
    <w:p>
      <w:pPr>
        <w:pStyle w:val="13"/>
        <w:tabs>
          <w:tab w:val="left" w:pos="5580"/>
        </w:tabs>
        <w:spacing w:line="360" w:lineRule="auto"/>
        <w:ind w:firstLine="420" w:firstLineChars="200"/>
        <w:rPr>
          <w:rFonts w:hAnsi="宋体" w:cs="宋体"/>
          <w:color w:val="000000"/>
          <w:szCs w:val="21"/>
          <w:highlight w:val="none"/>
        </w:rPr>
      </w:pPr>
      <w:r>
        <w:rPr>
          <w:rFonts w:hint="eastAsia" w:hAnsi="宋体" w:cs="宋体"/>
          <w:color w:val="000000"/>
          <w:szCs w:val="21"/>
          <w:highlight w:val="none"/>
        </w:rPr>
        <w:t>3、</w:t>
      </w:r>
      <w:r>
        <w:rPr>
          <w:rFonts w:hint="eastAsia" w:hAnsi="宋体" w:cs="宋体"/>
          <w:szCs w:val="21"/>
          <w:highlight w:val="none"/>
        </w:rPr>
        <w:t>一旦我方成交，我方将严格履行合同约定的责任和义务，</w:t>
      </w:r>
      <w:r>
        <w:rPr>
          <w:rFonts w:hint="eastAsia" w:hAnsi="宋体"/>
          <w:szCs w:val="21"/>
          <w:highlight w:val="none"/>
        </w:rPr>
        <w:t>保证该项目的服务期为自合同签订之日起</w:t>
      </w:r>
      <w:r>
        <w:rPr>
          <w:rFonts w:hint="eastAsia" w:hAnsi="宋体"/>
          <w:b/>
          <w:bCs/>
          <w:szCs w:val="21"/>
          <w:highlight w:val="none"/>
          <w:u w:val="single"/>
        </w:rPr>
        <w:t>7个工作日内完成</w:t>
      </w:r>
      <w:r>
        <w:rPr>
          <w:rFonts w:hint="eastAsia" w:hAnsi="宋体" w:cs="宋体"/>
          <w:szCs w:val="21"/>
          <w:highlight w:val="none"/>
        </w:rPr>
        <w:t>。</w:t>
      </w:r>
    </w:p>
    <w:p>
      <w:pPr>
        <w:pStyle w:val="13"/>
        <w:tabs>
          <w:tab w:val="left" w:pos="5580"/>
        </w:tabs>
        <w:spacing w:line="360" w:lineRule="auto"/>
        <w:ind w:firstLine="394" w:firstLineChars="199"/>
        <w:rPr>
          <w:rFonts w:hAnsi="宋体" w:cs="宋体"/>
          <w:color w:val="000000"/>
          <w:szCs w:val="21"/>
          <w:highlight w:val="none"/>
        </w:rPr>
      </w:pPr>
      <w:r>
        <w:rPr>
          <w:rFonts w:hint="eastAsia" w:hAnsi="宋体" w:cs="宋体"/>
          <w:color w:val="000000"/>
          <w:spacing w:val="-6"/>
          <w:szCs w:val="21"/>
          <w:highlight w:val="none"/>
        </w:rPr>
        <w:t>4、我方同意按照竞争性谈判文件的要求，向贵方提交金额为人民币（大写）</w:t>
      </w:r>
      <w:r>
        <w:rPr>
          <w:rFonts w:hint="eastAsia" w:hAnsi="宋体" w:cs="宋体"/>
          <w:color w:val="000000"/>
          <w:szCs w:val="21"/>
          <w:highlight w:val="none"/>
          <w:u w:val="single"/>
        </w:rPr>
        <w:t xml:space="preserve">  零元          ；　　（小写）　0 　</w:t>
      </w:r>
      <w:r>
        <w:rPr>
          <w:rFonts w:hint="eastAsia" w:hAnsi="宋体" w:cs="宋体"/>
          <w:color w:val="000000"/>
          <w:szCs w:val="21"/>
          <w:highlight w:val="none"/>
        </w:rPr>
        <w:t>元 的谈判响应保证金，并且承诺遵守竞争性谈判文件中有关谈判响应保证金的约定。</w:t>
      </w:r>
    </w:p>
    <w:p>
      <w:pPr>
        <w:pStyle w:val="13"/>
        <w:tabs>
          <w:tab w:val="left" w:pos="5580"/>
        </w:tabs>
        <w:spacing w:line="360" w:lineRule="auto"/>
        <w:ind w:firstLine="417" w:firstLineChars="199"/>
        <w:rPr>
          <w:rFonts w:hAnsi="宋体" w:cs="宋体"/>
          <w:color w:val="000000"/>
          <w:szCs w:val="21"/>
          <w:highlight w:val="none"/>
        </w:rPr>
      </w:pPr>
      <w:r>
        <w:rPr>
          <w:rFonts w:hint="eastAsia" w:hAnsi="宋体" w:cs="宋体"/>
          <w:color w:val="000000"/>
          <w:szCs w:val="21"/>
          <w:highlight w:val="none"/>
        </w:rPr>
        <w:t>5、我方保证按照本项目竞争性谈判文件要求提交谈判响应文件。</w:t>
      </w:r>
    </w:p>
    <w:p>
      <w:pPr>
        <w:pStyle w:val="13"/>
        <w:tabs>
          <w:tab w:val="left" w:pos="5580"/>
        </w:tabs>
        <w:spacing w:line="360" w:lineRule="auto"/>
        <w:ind w:firstLine="417" w:firstLineChars="199"/>
        <w:rPr>
          <w:rFonts w:hAnsi="宋体" w:cs="宋体"/>
          <w:color w:val="000000"/>
          <w:szCs w:val="21"/>
          <w:highlight w:val="none"/>
        </w:rPr>
      </w:pPr>
      <w:r>
        <w:rPr>
          <w:rFonts w:hint="eastAsia" w:hAnsi="宋体" w:cs="宋体"/>
          <w:color w:val="000000"/>
          <w:szCs w:val="21"/>
          <w:highlight w:val="none"/>
        </w:rPr>
        <w:t>6、我方愿意提供贵方可能另外要求的、与谈判响应有关的文件资料，并保证我方已提供和将要提供的文件是真实的、准确的。</w:t>
      </w:r>
    </w:p>
    <w:p>
      <w:pPr>
        <w:pStyle w:val="13"/>
        <w:tabs>
          <w:tab w:val="left" w:pos="5580"/>
        </w:tabs>
        <w:spacing w:line="360" w:lineRule="auto"/>
        <w:ind w:firstLine="417" w:firstLineChars="199"/>
        <w:rPr>
          <w:rFonts w:hAnsi="宋体" w:cs="宋体"/>
          <w:color w:val="000000"/>
          <w:szCs w:val="21"/>
          <w:highlight w:val="none"/>
        </w:rPr>
      </w:pPr>
      <w:r>
        <w:rPr>
          <w:rFonts w:hint="eastAsia" w:hAnsi="宋体" w:cs="宋体"/>
          <w:color w:val="000000"/>
          <w:szCs w:val="21"/>
          <w:highlight w:val="none"/>
        </w:rPr>
        <w:t>7、我方完全理解贵方不一定将合同授予最低报价的谈判响应人。</w:t>
      </w:r>
    </w:p>
    <w:p>
      <w:pPr>
        <w:pStyle w:val="13"/>
        <w:tabs>
          <w:tab w:val="left" w:pos="5580"/>
        </w:tabs>
        <w:spacing w:line="360" w:lineRule="auto"/>
        <w:ind w:right="360" w:firstLine="3570" w:firstLineChars="1700"/>
        <w:rPr>
          <w:rFonts w:hAnsi="宋体" w:cs="宋体"/>
          <w:color w:val="000000"/>
          <w:szCs w:val="21"/>
          <w:highlight w:val="none"/>
        </w:rPr>
      </w:pPr>
    </w:p>
    <w:p>
      <w:pPr>
        <w:pStyle w:val="13"/>
        <w:tabs>
          <w:tab w:val="left" w:pos="5580"/>
        </w:tabs>
        <w:spacing w:line="360" w:lineRule="auto"/>
        <w:ind w:right="360" w:firstLine="3570" w:firstLineChars="1700"/>
        <w:rPr>
          <w:rFonts w:hAnsi="宋体" w:cs="宋体"/>
          <w:color w:val="000000"/>
          <w:szCs w:val="21"/>
          <w:highlight w:val="none"/>
        </w:rPr>
      </w:pPr>
    </w:p>
    <w:p>
      <w:pPr>
        <w:pStyle w:val="13"/>
        <w:tabs>
          <w:tab w:val="left" w:pos="5580"/>
        </w:tabs>
        <w:spacing w:line="360" w:lineRule="auto"/>
        <w:ind w:right="360" w:firstLine="3570" w:firstLineChars="1700"/>
        <w:rPr>
          <w:rFonts w:hAnsi="宋体" w:cs="宋体"/>
          <w:color w:val="000000"/>
          <w:szCs w:val="21"/>
          <w:highlight w:val="none"/>
          <w:u w:val="single"/>
        </w:rPr>
      </w:pPr>
      <w:r>
        <w:rPr>
          <w:rFonts w:hint="eastAsia" w:hAnsi="宋体" w:cs="宋体"/>
          <w:color w:val="000000"/>
          <w:szCs w:val="21"/>
          <w:highlight w:val="none"/>
        </w:rPr>
        <w:t>谈判响应人：</w:t>
      </w:r>
      <w:r>
        <w:rPr>
          <w:rFonts w:hint="eastAsia" w:hAnsi="宋体" w:cs="宋体"/>
          <w:color w:val="000000"/>
          <w:szCs w:val="21"/>
          <w:highlight w:val="none"/>
          <w:u w:val="single"/>
        </w:rPr>
        <w:t xml:space="preserve">                           （盖章） </w:t>
      </w:r>
    </w:p>
    <w:p>
      <w:pPr>
        <w:pStyle w:val="13"/>
        <w:tabs>
          <w:tab w:val="left" w:pos="5580"/>
        </w:tabs>
        <w:spacing w:line="360" w:lineRule="auto"/>
        <w:ind w:firstLine="420" w:firstLineChars="200"/>
        <w:rPr>
          <w:rFonts w:hAnsi="宋体" w:cs="宋体"/>
          <w:color w:val="000000"/>
          <w:szCs w:val="21"/>
          <w:highlight w:val="none"/>
          <w:u w:val="single"/>
        </w:rPr>
      </w:pPr>
      <w:r>
        <w:rPr>
          <w:rFonts w:hint="eastAsia" w:hAnsi="宋体" w:cs="宋体"/>
          <w:color w:val="000000"/>
          <w:szCs w:val="21"/>
          <w:highlight w:val="none"/>
        </w:rPr>
        <w:t xml:space="preserve">                              单位地址：</w:t>
      </w:r>
      <w:r>
        <w:rPr>
          <w:rFonts w:hint="eastAsia" w:hAnsi="宋体" w:cs="宋体"/>
          <w:color w:val="000000"/>
          <w:szCs w:val="21"/>
          <w:highlight w:val="none"/>
          <w:u w:val="single"/>
        </w:rPr>
        <w:tab/>
      </w:r>
      <w:r>
        <w:rPr>
          <w:rFonts w:hint="eastAsia" w:hAnsi="宋体" w:cs="宋体"/>
          <w:color w:val="000000"/>
          <w:szCs w:val="21"/>
          <w:highlight w:val="none"/>
          <w:u w:val="single"/>
        </w:rPr>
        <w:tab/>
      </w:r>
      <w:r>
        <w:rPr>
          <w:rFonts w:hint="eastAsia" w:hAnsi="宋体" w:cs="宋体"/>
          <w:color w:val="000000"/>
          <w:szCs w:val="21"/>
          <w:highlight w:val="none"/>
          <w:u w:val="single"/>
        </w:rPr>
        <w:tab/>
      </w:r>
      <w:r>
        <w:rPr>
          <w:rFonts w:hint="eastAsia" w:hAnsi="宋体" w:cs="宋体"/>
          <w:color w:val="000000"/>
          <w:szCs w:val="21"/>
          <w:highlight w:val="none"/>
          <w:u w:val="single"/>
        </w:rPr>
        <w:tab/>
      </w:r>
      <w:r>
        <w:rPr>
          <w:rFonts w:hint="eastAsia" w:hAnsi="宋体" w:cs="宋体"/>
          <w:color w:val="000000"/>
          <w:szCs w:val="21"/>
          <w:highlight w:val="none"/>
          <w:u w:val="single"/>
        </w:rPr>
        <w:tab/>
      </w:r>
      <w:r>
        <w:rPr>
          <w:rFonts w:hint="eastAsia" w:hAnsi="宋体" w:cs="宋体"/>
          <w:color w:val="000000"/>
          <w:szCs w:val="21"/>
          <w:highlight w:val="none"/>
          <w:u w:val="single"/>
        </w:rPr>
        <w:tab/>
      </w:r>
      <w:r>
        <w:rPr>
          <w:rFonts w:hint="eastAsia" w:hAnsi="宋体" w:cs="宋体"/>
          <w:color w:val="000000"/>
          <w:szCs w:val="21"/>
          <w:highlight w:val="none"/>
          <w:u w:val="single"/>
        </w:rPr>
        <w:t xml:space="preserve">      </w:t>
      </w:r>
    </w:p>
    <w:p>
      <w:pPr>
        <w:pStyle w:val="13"/>
        <w:tabs>
          <w:tab w:val="left" w:pos="5580"/>
        </w:tabs>
        <w:spacing w:line="360" w:lineRule="auto"/>
        <w:ind w:firstLine="420" w:firstLineChars="200"/>
        <w:rPr>
          <w:rFonts w:hAnsi="宋体" w:cs="宋体"/>
          <w:color w:val="000000"/>
          <w:szCs w:val="21"/>
          <w:highlight w:val="none"/>
          <w:u w:val="single"/>
        </w:rPr>
      </w:pPr>
      <w:r>
        <w:rPr>
          <w:rFonts w:hint="eastAsia" w:hAnsi="宋体" w:cs="宋体"/>
          <w:color w:val="000000"/>
          <w:szCs w:val="21"/>
          <w:highlight w:val="none"/>
        </w:rPr>
        <w:t xml:space="preserve">                              </w:t>
      </w:r>
      <w:r>
        <w:rPr>
          <w:rFonts w:hint="eastAsia" w:hAnsi="宋体" w:cs="宋体"/>
          <w:color w:val="000000"/>
          <w:szCs w:val="21"/>
          <w:highlight w:val="none"/>
          <w:lang w:eastAsia="zh-CN"/>
        </w:rPr>
        <w:t>法定代表人（或授权委托人）</w:t>
      </w:r>
      <w:r>
        <w:rPr>
          <w:rFonts w:hint="eastAsia" w:hAnsi="宋体" w:cs="宋体"/>
          <w:color w:val="000000"/>
          <w:szCs w:val="21"/>
          <w:highlight w:val="none"/>
        </w:rPr>
        <w:t>：</w:t>
      </w:r>
      <w:r>
        <w:rPr>
          <w:rFonts w:hint="eastAsia" w:hAnsi="宋体" w:cs="宋体"/>
          <w:color w:val="000000"/>
          <w:szCs w:val="21"/>
          <w:highlight w:val="none"/>
          <w:u w:val="single"/>
        </w:rPr>
        <w:t xml:space="preserve">        （</w:t>
      </w:r>
      <w:r>
        <w:rPr>
          <w:rFonts w:hint="eastAsia" w:hAnsi="宋体" w:cs="宋体"/>
          <w:color w:val="000000"/>
          <w:szCs w:val="21"/>
          <w:highlight w:val="none"/>
          <w:u w:val="single"/>
          <w:lang w:eastAsia="zh-CN"/>
        </w:rPr>
        <w:t>盖章或签字</w:t>
      </w:r>
      <w:r>
        <w:rPr>
          <w:rFonts w:hint="eastAsia" w:hAnsi="宋体" w:cs="宋体"/>
          <w:color w:val="000000"/>
          <w:szCs w:val="21"/>
          <w:highlight w:val="none"/>
          <w:u w:val="single"/>
        </w:rPr>
        <w:t>）</w:t>
      </w:r>
    </w:p>
    <w:p>
      <w:pPr>
        <w:pStyle w:val="13"/>
        <w:tabs>
          <w:tab w:val="left" w:pos="5580"/>
        </w:tabs>
        <w:spacing w:line="360" w:lineRule="auto"/>
        <w:ind w:firstLine="420" w:firstLineChars="200"/>
        <w:rPr>
          <w:rFonts w:hAnsi="宋体" w:cs="宋体"/>
          <w:color w:val="000000"/>
          <w:szCs w:val="21"/>
          <w:highlight w:val="none"/>
          <w:u w:val="single"/>
        </w:rPr>
      </w:pPr>
    </w:p>
    <w:p>
      <w:pPr>
        <w:pStyle w:val="13"/>
        <w:tabs>
          <w:tab w:val="left" w:pos="5580"/>
        </w:tabs>
        <w:spacing w:line="360" w:lineRule="auto"/>
        <w:ind w:firstLine="3570" w:firstLineChars="1700"/>
        <w:rPr>
          <w:rFonts w:hAnsi="宋体" w:cs="宋体"/>
          <w:color w:val="000000"/>
          <w:szCs w:val="21"/>
          <w:highlight w:val="none"/>
        </w:rPr>
      </w:pPr>
      <w:r>
        <w:rPr>
          <w:rFonts w:hint="eastAsia" w:hAnsi="宋体" w:cs="宋体"/>
          <w:color w:val="000000"/>
          <w:szCs w:val="21"/>
          <w:highlight w:val="none"/>
        </w:rPr>
        <w:t>日期：          年      月      日</w:t>
      </w:r>
    </w:p>
    <w:p>
      <w:pPr>
        <w:spacing w:line="360" w:lineRule="auto"/>
        <w:ind w:firstLine="480" w:firstLineChars="200"/>
        <w:jc w:val="center"/>
        <w:rPr>
          <w:rFonts w:ascii="宋体" w:hAnsi="宋体" w:cs="宋体"/>
          <w:color w:val="000000"/>
          <w:sz w:val="24"/>
          <w:highlight w:val="none"/>
        </w:rPr>
      </w:pPr>
    </w:p>
    <w:p>
      <w:pPr>
        <w:spacing w:line="360" w:lineRule="auto"/>
        <w:ind w:firstLine="480" w:firstLineChars="200"/>
        <w:jc w:val="center"/>
        <w:rPr>
          <w:rFonts w:ascii="宋体" w:hAnsi="宋体" w:cs="宋体"/>
          <w:color w:val="000000"/>
          <w:sz w:val="24"/>
          <w:highlight w:val="none"/>
        </w:rPr>
      </w:pPr>
    </w:p>
    <w:p>
      <w:pPr>
        <w:spacing w:line="360" w:lineRule="auto"/>
        <w:ind w:firstLine="480" w:firstLineChars="200"/>
        <w:jc w:val="center"/>
        <w:rPr>
          <w:rFonts w:ascii="宋体" w:hAnsi="宋体" w:cs="宋体"/>
          <w:color w:val="000000"/>
          <w:sz w:val="24"/>
          <w:highlight w:val="none"/>
        </w:rPr>
      </w:pPr>
    </w:p>
    <w:p>
      <w:pPr>
        <w:pStyle w:val="11"/>
        <w:rPr>
          <w:rFonts w:ascii="宋体" w:hAnsi="宋体" w:cs="宋体"/>
          <w:color w:val="000000"/>
          <w:sz w:val="24"/>
          <w:highlight w:val="none"/>
        </w:rPr>
      </w:pPr>
    </w:p>
    <w:p>
      <w:pPr>
        <w:pStyle w:val="11"/>
        <w:rPr>
          <w:rFonts w:ascii="宋体" w:hAnsi="宋体" w:cs="宋体"/>
          <w:color w:val="000000"/>
          <w:sz w:val="24"/>
          <w:highlight w:val="none"/>
        </w:rPr>
      </w:pPr>
    </w:p>
    <w:p>
      <w:pPr>
        <w:pStyle w:val="11"/>
        <w:rPr>
          <w:rFonts w:ascii="宋体" w:hAnsi="宋体" w:cs="宋体"/>
          <w:color w:val="000000"/>
          <w:sz w:val="24"/>
          <w:highlight w:val="none"/>
        </w:rPr>
      </w:pPr>
    </w:p>
    <w:p>
      <w:pPr>
        <w:spacing w:line="360" w:lineRule="auto"/>
        <w:rPr>
          <w:rFonts w:ascii="宋体" w:hAnsi="宋体" w:cs="宋体"/>
          <w:color w:val="000000"/>
          <w:sz w:val="24"/>
          <w:highlight w:val="none"/>
        </w:rPr>
      </w:pPr>
    </w:p>
    <w:p>
      <w:pPr>
        <w:pStyle w:val="8"/>
        <w:jc w:val="center"/>
        <w:rPr>
          <w:rFonts w:hAnsi="宋体" w:cs="宋体"/>
          <w:highlight w:val="none"/>
        </w:rPr>
      </w:pPr>
      <w:bookmarkStart w:id="44" w:name="_Toc12161"/>
      <w:bookmarkStart w:id="45" w:name="_Toc55202322"/>
      <w:bookmarkStart w:id="46" w:name="_Toc7098"/>
      <w:r>
        <w:rPr>
          <w:rFonts w:hint="eastAsia" w:hAnsi="宋体" w:cs="宋体"/>
          <w:highlight w:val="none"/>
        </w:rPr>
        <w:t>二、</w:t>
      </w:r>
      <w:bookmarkEnd w:id="44"/>
      <w:r>
        <w:rPr>
          <w:rFonts w:hint="eastAsia" w:hAnsi="宋体" w:cs="宋体"/>
          <w:highlight w:val="none"/>
        </w:rPr>
        <w:t>服务报价表(首轮)</w:t>
      </w:r>
      <w:bookmarkEnd w:id="45"/>
      <w:bookmarkEnd w:id="46"/>
    </w:p>
    <w:p>
      <w:pPr>
        <w:spacing w:line="360" w:lineRule="auto"/>
        <w:rPr>
          <w:rFonts w:ascii="宋体" w:hAnsi="宋体" w:cs="宋体"/>
          <w:szCs w:val="21"/>
          <w:highlight w:val="none"/>
        </w:rPr>
      </w:pPr>
      <w:r>
        <w:rPr>
          <w:rFonts w:hint="eastAsia" w:ascii="宋体" w:hAnsi="宋体" w:cs="宋体"/>
          <w:szCs w:val="21"/>
          <w:highlight w:val="none"/>
        </w:rPr>
        <w:t>项目名称：</w:t>
      </w:r>
      <w:r>
        <w:rPr>
          <w:rFonts w:hint="eastAsia" w:ascii="宋体" w:hAnsi="宋体" w:eastAsia="宋体" w:cs="宋体"/>
          <w:color w:val="000000"/>
          <w:szCs w:val="21"/>
          <w:highlight w:val="none"/>
          <w:lang w:eastAsia="zh-CN"/>
        </w:rPr>
        <w:t>智慧文旅综合管理平台之安庆智慧博物馆系统建设信息化项目</w:t>
      </w:r>
      <w:r>
        <w:rPr>
          <w:rFonts w:hint="eastAsia" w:ascii="宋体" w:hAnsi="宋体" w:cs="宋体"/>
          <w:highlight w:val="none"/>
          <w:lang w:eastAsia="zh-CN"/>
        </w:rPr>
        <w:t>建设方案</w:t>
      </w:r>
      <w:r>
        <w:rPr>
          <w:rFonts w:hint="eastAsia" w:ascii="宋体" w:hAnsi="宋体" w:eastAsia="宋体" w:cs="宋体"/>
          <w:highlight w:val="none"/>
          <w:lang w:eastAsia="zh-CN"/>
        </w:rPr>
        <w:t>编制</w:t>
      </w:r>
      <w:r>
        <w:rPr>
          <w:rFonts w:hint="eastAsia" w:ascii="宋体" w:hAnsi="宋体" w:cs="宋体"/>
          <w:szCs w:val="21"/>
          <w:highlight w:val="none"/>
        </w:rPr>
        <w:t xml:space="preserve"> </w:t>
      </w:r>
    </w:p>
    <w:p>
      <w:pPr>
        <w:spacing w:line="360" w:lineRule="auto"/>
        <w:rPr>
          <w:rFonts w:ascii="宋体" w:hAnsi="宋体" w:cs="宋体"/>
          <w:szCs w:val="21"/>
          <w:highlight w:val="none"/>
        </w:rPr>
      </w:pPr>
      <w:r>
        <w:rPr>
          <w:rFonts w:hint="eastAsia" w:ascii="宋体" w:hAnsi="宋体" w:cs="宋体"/>
          <w:szCs w:val="21"/>
          <w:highlight w:val="none"/>
        </w:rPr>
        <w:t>项目编号：CG-AQ-W2022-</w:t>
      </w:r>
      <w:r>
        <w:rPr>
          <w:rFonts w:hint="eastAsia" w:ascii="宋体" w:hAnsi="宋体" w:cs="宋体"/>
          <w:szCs w:val="21"/>
          <w:highlight w:val="none"/>
          <w:lang w:eastAsia="zh-CN"/>
        </w:rPr>
        <w:t>0</w:t>
      </w:r>
      <w:r>
        <w:rPr>
          <w:rFonts w:hint="eastAsia" w:ascii="宋体" w:hAnsi="宋体" w:cs="宋体"/>
          <w:szCs w:val="21"/>
          <w:highlight w:val="none"/>
          <w:lang w:val="en-US" w:eastAsia="zh-CN"/>
        </w:rPr>
        <w:t>63</w:t>
      </w:r>
      <w:r>
        <w:rPr>
          <w:rFonts w:hint="eastAsia" w:ascii="宋体" w:hAnsi="宋体" w:cs="宋体"/>
          <w:szCs w:val="21"/>
          <w:highlight w:val="none"/>
        </w:rPr>
        <w:t xml:space="preserve">                                                        </w:t>
      </w:r>
    </w:p>
    <w:tbl>
      <w:tblPr>
        <w:tblStyle w:val="25"/>
        <w:tblW w:w="0" w:type="auto"/>
        <w:jc w:val="center"/>
        <w:tblLayout w:type="fixed"/>
        <w:tblCellMar>
          <w:top w:w="0" w:type="dxa"/>
          <w:left w:w="108" w:type="dxa"/>
          <w:bottom w:w="0" w:type="dxa"/>
          <w:right w:w="108" w:type="dxa"/>
        </w:tblCellMar>
      </w:tblPr>
      <w:tblGrid>
        <w:gridCol w:w="836"/>
        <w:gridCol w:w="3335"/>
        <w:gridCol w:w="917"/>
        <w:gridCol w:w="657"/>
        <w:gridCol w:w="1610"/>
        <w:gridCol w:w="1586"/>
      </w:tblGrid>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highlight w:val="none"/>
              </w:rPr>
            </w:pPr>
            <w:r>
              <w:rPr>
                <w:rFonts w:hint="eastAsia" w:ascii="宋体" w:hAnsi="宋体" w:cs="宋体"/>
                <w:highlight w:val="none"/>
              </w:rPr>
              <w:t>序号</w:t>
            </w:r>
          </w:p>
        </w:tc>
        <w:tc>
          <w:tcPr>
            <w:tcW w:w="3335"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highlight w:val="none"/>
              </w:rPr>
            </w:pPr>
            <w:r>
              <w:rPr>
                <w:rFonts w:hint="eastAsia" w:ascii="宋体" w:hAnsi="宋体" w:cs="宋体"/>
                <w:highlight w:val="none"/>
              </w:rPr>
              <w:t>服务项目名称</w:t>
            </w:r>
          </w:p>
        </w:tc>
        <w:tc>
          <w:tcPr>
            <w:tcW w:w="917"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highlight w:val="none"/>
              </w:rPr>
            </w:pPr>
            <w:r>
              <w:rPr>
                <w:rFonts w:hint="eastAsia" w:ascii="宋体" w:hAnsi="宋体" w:cs="宋体"/>
                <w:highlight w:val="none"/>
              </w:rPr>
              <w:t>单位</w:t>
            </w:r>
          </w:p>
        </w:tc>
        <w:tc>
          <w:tcPr>
            <w:tcW w:w="657"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highlight w:val="none"/>
              </w:rPr>
            </w:pPr>
            <w:r>
              <w:rPr>
                <w:rFonts w:hint="eastAsia" w:ascii="宋体" w:hAnsi="宋体" w:cs="宋体"/>
                <w:highlight w:val="none"/>
              </w:rPr>
              <w:t>数量</w:t>
            </w:r>
          </w:p>
        </w:tc>
        <w:tc>
          <w:tcPr>
            <w:tcW w:w="161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highlight w:val="none"/>
              </w:rPr>
            </w:pPr>
            <w:r>
              <w:rPr>
                <w:rFonts w:hint="eastAsia" w:ascii="宋体" w:hAnsi="宋体" w:cs="宋体"/>
                <w:highlight w:val="none"/>
              </w:rPr>
              <w:t>单价（元）</w:t>
            </w:r>
          </w:p>
        </w:tc>
        <w:tc>
          <w:tcPr>
            <w:tcW w:w="158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highlight w:val="none"/>
              </w:rPr>
            </w:pPr>
            <w:r>
              <w:rPr>
                <w:rFonts w:hint="eastAsia" w:ascii="宋体" w:hAnsi="宋体" w:cs="宋体"/>
                <w:highlight w:val="none"/>
              </w:rPr>
              <w:t>合价（元）</w:t>
            </w: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hint="eastAsia" w:ascii="宋体" w:hAnsi="宋体" w:eastAsia="宋体" w:cs="宋体"/>
                <w:highlight w:val="none"/>
                <w:lang w:val="en-US" w:eastAsia="zh-CN"/>
              </w:rPr>
            </w:pPr>
            <w:r>
              <w:rPr>
                <w:rFonts w:hint="eastAsia" w:ascii="宋体" w:hAnsi="宋体" w:cs="宋体"/>
                <w:highlight w:val="none"/>
                <w:lang w:val="en-US" w:eastAsia="zh-CN"/>
              </w:rPr>
              <w:t>1</w:t>
            </w:r>
          </w:p>
        </w:tc>
        <w:tc>
          <w:tcPr>
            <w:tcW w:w="3335" w:type="dxa"/>
            <w:tcBorders>
              <w:top w:val="single" w:color="auto" w:sz="4" w:space="0"/>
              <w:left w:val="single" w:color="auto" w:sz="4" w:space="0"/>
              <w:bottom w:val="nil"/>
              <w:right w:val="nil"/>
            </w:tcBorders>
            <w:shd w:val="clear" w:color="auto" w:fill="FFFFFF"/>
            <w:vAlign w:val="center"/>
          </w:tcPr>
          <w:p>
            <w:pPr>
              <w:jc w:val="center"/>
              <w:rPr>
                <w:rFonts w:hint="eastAsia" w:ascii="宋体" w:hAnsi="宋体" w:eastAsia="宋体" w:cs="宋体"/>
                <w:highlight w:val="none"/>
                <w:lang w:eastAsia="zh-CN"/>
              </w:rPr>
            </w:pPr>
            <w:r>
              <w:rPr>
                <w:rFonts w:hint="eastAsia" w:ascii="宋体" w:hAnsi="宋体" w:eastAsia="宋体" w:cs="宋体"/>
                <w:highlight w:val="none"/>
                <w:lang w:eastAsia="zh-CN"/>
              </w:rPr>
              <w:t>智慧文旅综合管理平台之安庆智慧博物馆系统建设信息化项目</w:t>
            </w:r>
            <w:r>
              <w:rPr>
                <w:rFonts w:hint="eastAsia" w:ascii="宋体" w:hAnsi="宋体" w:cs="宋体"/>
                <w:highlight w:val="none"/>
                <w:lang w:eastAsia="zh-CN"/>
              </w:rPr>
              <w:t>建设方案</w:t>
            </w:r>
            <w:r>
              <w:rPr>
                <w:rFonts w:hint="eastAsia" w:ascii="宋体" w:hAnsi="宋体" w:eastAsia="宋体" w:cs="宋体"/>
                <w:highlight w:val="none"/>
                <w:lang w:eastAsia="zh-CN"/>
              </w:rPr>
              <w:t>编制</w:t>
            </w:r>
          </w:p>
        </w:tc>
        <w:tc>
          <w:tcPr>
            <w:tcW w:w="917" w:type="dxa"/>
            <w:tcBorders>
              <w:top w:val="single" w:color="auto" w:sz="4" w:space="0"/>
              <w:left w:val="single" w:color="auto" w:sz="4" w:space="0"/>
              <w:bottom w:val="nil"/>
              <w:right w:val="nil"/>
            </w:tcBorders>
            <w:shd w:val="clear" w:color="auto" w:fill="FFFFFF"/>
            <w:vAlign w:val="center"/>
          </w:tcPr>
          <w:p>
            <w:pPr>
              <w:jc w:val="center"/>
              <w:rPr>
                <w:rFonts w:hint="eastAsia" w:ascii="宋体" w:hAnsi="宋体" w:eastAsia="宋体" w:cs="宋体"/>
                <w:highlight w:val="none"/>
                <w:lang w:val="en-US" w:eastAsia="zh-CN"/>
              </w:rPr>
            </w:pPr>
            <w:r>
              <w:rPr>
                <w:rFonts w:hint="eastAsia" w:ascii="宋体" w:hAnsi="宋体" w:cs="宋体"/>
                <w:highlight w:val="none"/>
                <w:lang w:val="en-US" w:eastAsia="zh-CN"/>
              </w:rPr>
              <w:t>项</w:t>
            </w:r>
          </w:p>
        </w:tc>
        <w:tc>
          <w:tcPr>
            <w:tcW w:w="657" w:type="dxa"/>
            <w:tcBorders>
              <w:top w:val="single" w:color="auto" w:sz="4" w:space="0"/>
              <w:left w:val="single" w:color="auto" w:sz="4" w:space="0"/>
              <w:bottom w:val="nil"/>
              <w:right w:val="nil"/>
            </w:tcBorders>
            <w:shd w:val="clear" w:color="auto" w:fill="FFFFFF"/>
            <w:vAlign w:val="center"/>
          </w:tcPr>
          <w:p>
            <w:pPr>
              <w:jc w:val="center"/>
              <w:rPr>
                <w:rFonts w:hint="default" w:ascii="宋体" w:hAnsi="宋体" w:eastAsia="宋体" w:cs="宋体"/>
                <w:highlight w:val="none"/>
                <w:lang w:val="en-US" w:eastAsia="zh-CN"/>
              </w:rPr>
            </w:pPr>
            <w:r>
              <w:rPr>
                <w:rFonts w:hint="eastAsia" w:ascii="宋体" w:hAnsi="宋体" w:cs="宋体"/>
                <w:highlight w:val="none"/>
                <w:lang w:val="en-US" w:eastAsia="zh-CN"/>
              </w:rPr>
              <w:t>1</w:t>
            </w:r>
          </w:p>
        </w:tc>
        <w:tc>
          <w:tcPr>
            <w:tcW w:w="161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highlight w:val="none"/>
              </w:rPr>
            </w:pPr>
          </w:p>
        </w:tc>
        <w:tc>
          <w:tcPr>
            <w:tcW w:w="158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highlight w:val="none"/>
              </w:rPr>
            </w:pPr>
          </w:p>
        </w:tc>
      </w:tr>
      <w:tr>
        <w:tblPrEx>
          <w:tblCellMar>
            <w:top w:w="0" w:type="dxa"/>
            <w:left w:w="108" w:type="dxa"/>
            <w:bottom w:w="0" w:type="dxa"/>
            <w:right w:w="108" w:type="dxa"/>
          </w:tblCellMar>
        </w:tblPrEx>
        <w:trPr>
          <w:trHeight w:val="83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highlight w:val="none"/>
              </w:rPr>
            </w:pPr>
            <w:r>
              <w:rPr>
                <w:rFonts w:hint="eastAsia" w:ascii="宋体" w:hAnsi="宋体" w:cs="宋体"/>
                <w:highlight w:val="none"/>
              </w:rPr>
              <w:t>总价</w:t>
            </w:r>
          </w:p>
        </w:tc>
        <w:tc>
          <w:tcPr>
            <w:tcW w:w="810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highlight w:val="none"/>
              </w:rPr>
            </w:pPr>
            <w:r>
              <w:rPr>
                <w:rFonts w:hint="eastAsia" w:ascii="宋体" w:hAnsi="宋体" w:cs="宋体"/>
                <w:szCs w:val="21"/>
                <w:highlight w:val="none"/>
              </w:rPr>
              <w:t>小写：           元</w:t>
            </w:r>
          </w:p>
        </w:tc>
      </w:tr>
    </w:tbl>
    <w:p>
      <w:pPr>
        <w:spacing w:line="360" w:lineRule="auto"/>
        <w:rPr>
          <w:rFonts w:ascii="宋体" w:hAnsi="宋体" w:cs="宋体"/>
          <w:szCs w:val="21"/>
          <w:highlight w:val="none"/>
        </w:rPr>
      </w:pPr>
    </w:p>
    <w:p>
      <w:pPr>
        <w:spacing w:line="360" w:lineRule="auto"/>
        <w:rPr>
          <w:rFonts w:ascii="宋体" w:hAnsi="宋体" w:cs="宋体"/>
          <w:b/>
          <w:bCs/>
          <w:szCs w:val="21"/>
          <w:highlight w:val="none"/>
        </w:rPr>
      </w:pPr>
      <w:r>
        <w:rPr>
          <w:rFonts w:hint="eastAsia" w:ascii="宋体" w:hAnsi="宋体" w:cs="宋体"/>
          <w:b/>
          <w:bCs/>
          <w:szCs w:val="21"/>
          <w:highlight w:val="none"/>
        </w:rPr>
        <w:t>注：谈判响应人可根据实际情况自行填写，但必须注明具体的细目内容，栏目不够可自行添加。</w:t>
      </w: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ind w:firstLine="3561" w:firstLineChars="1696"/>
        <w:rPr>
          <w:rFonts w:ascii="宋体" w:hAnsi="宋体" w:cs="宋体"/>
          <w:szCs w:val="21"/>
          <w:highlight w:val="none"/>
        </w:rPr>
      </w:pPr>
      <w:r>
        <w:rPr>
          <w:rFonts w:hint="eastAsia" w:ascii="宋体" w:hAnsi="宋体" w:cs="宋体"/>
          <w:szCs w:val="21"/>
          <w:highlight w:val="none"/>
        </w:rPr>
        <w:t>谈判响应人：</w:t>
      </w:r>
      <w:r>
        <w:rPr>
          <w:rFonts w:hint="eastAsia" w:ascii="宋体" w:hAnsi="宋体" w:cs="宋体"/>
          <w:szCs w:val="21"/>
          <w:highlight w:val="none"/>
          <w:u w:val="single"/>
        </w:rPr>
        <w:t xml:space="preserve">                             </w:t>
      </w:r>
      <w:r>
        <w:rPr>
          <w:rFonts w:hint="eastAsia" w:ascii="宋体" w:hAnsi="宋体" w:cs="宋体"/>
          <w:szCs w:val="21"/>
          <w:highlight w:val="none"/>
        </w:rPr>
        <w:t>（盖章）</w:t>
      </w:r>
    </w:p>
    <w:p>
      <w:pPr>
        <w:spacing w:line="360" w:lineRule="auto"/>
        <w:ind w:firstLine="3561" w:firstLineChars="1696"/>
        <w:rPr>
          <w:rFonts w:ascii="宋体" w:hAnsi="宋体" w:cs="宋体"/>
          <w:szCs w:val="21"/>
          <w:highlight w:val="none"/>
        </w:rPr>
      </w:pPr>
    </w:p>
    <w:p>
      <w:pPr>
        <w:spacing w:line="360" w:lineRule="auto"/>
        <w:ind w:firstLine="3570" w:firstLineChars="1700"/>
        <w:rPr>
          <w:rFonts w:ascii="宋体" w:hAnsi="宋体" w:cs="宋体"/>
          <w:szCs w:val="21"/>
          <w:highlight w:val="none"/>
        </w:rPr>
      </w:pPr>
      <w:r>
        <w:rPr>
          <w:rFonts w:hint="eastAsia" w:ascii="宋体" w:hAnsi="宋体" w:cs="宋体"/>
          <w:szCs w:val="21"/>
          <w:highlight w:val="none"/>
          <w:lang w:eastAsia="zh-CN"/>
        </w:rPr>
        <w:t>法定代表人（或授权委托人）</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hAnsi="宋体" w:cs="宋体"/>
          <w:color w:val="000000"/>
          <w:szCs w:val="21"/>
          <w:highlight w:val="none"/>
          <w:u w:val="none"/>
          <w:lang w:eastAsia="zh-CN"/>
        </w:rPr>
        <w:t>盖章或签字</w:t>
      </w:r>
      <w:r>
        <w:rPr>
          <w:rFonts w:hint="eastAsia" w:ascii="宋体" w:hAnsi="宋体" w:cs="宋体"/>
          <w:szCs w:val="21"/>
          <w:highlight w:val="none"/>
        </w:rPr>
        <w:t>）</w:t>
      </w:r>
    </w:p>
    <w:p>
      <w:pPr>
        <w:spacing w:line="360" w:lineRule="auto"/>
        <w:ind w:firstLine="3570" w:firstLineChars="1700"/>
        <w:rPr>
          <w:rFonts w:ascii="宋体" w:hAnsi="宋体" w:cs="宋体"/>
          <w:szCs w:val="21"/>
          <w:highlight w:val="none"/>
        </w:rPr>
      </w:pPr>
    </w:p>
    <w:p>
      <w:pPr>
        <w:spacing w:line="360" w:lineRule="auto"/>
        <w:ind w:firstLine="3570" w:firstLineChars="1700"/>
        <w:rPr>
          <w:rFonts w:ascii="宋体" w:hAnsi="宋体" w:cs="宋体"/>
          <w:szCs w:val="21"/>
          <w:highlight w:val="none"/>
        </w:rPr>
      </w:pPr>
      <w:r>
        <w:rPr>
          <w:rFonts w:hint="eastAsia" w:ascii="宋体" w:hAnsi="宋体" w:cs="宋体"/>
          <w:szCs w:val="21"/>
          <w:highlight w:val="none"/>
        </w:rPr>
        <w:t>日  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3570" w:firstLineChars="1700"/>
        <w:rPr>
          <w:rFonts w:ascii="宋体" w:hAnsi="宋体" w:cs="宋体"/>
          <w:color w:val="000000"/>
          <w:szCs w:val="21"/>
          <w:highlight w:val="none"/>
        </w:rPr>
      </w:pPr>
    </w:p>
    <w:p>
      <w:pPr>
        <w:spacing w:line="360" w:lineRule="auto"/>
        <w:ind w:firstLine="3570" w:firstLineChars="1700"/>
        <w:rPr>
          <w:rFonts w:ascii="宋体" w:hAnsi="宋体" w:cs="宋体"/>
          <w:color w:val="000000"/>
          <w:szCs w:val="21"/>
          <w:highlight w:val="none"/>
        </w:rPr>
      </w:pPr>
    </w:p>
    <w:p>
      <w:pPr>
        <w:spacing w:line="360" w:lineRule="auto"/>
        <w:ind w:firstLine="3570" w:firstLineChars="1700"/>
        <w:rPr>
          <w:rFonts w:ascii="宋体" w:hAnsi="宋体" w:cs="宋体"/>
          <w:color w:val="000000"/>
          <w:szCs w:val="21"/>
          <w:highlight w:val="none"/>
        </w:rPr>
      </w:pPr>
    </w:p>
    <w:p>
      <w:pPr>
        <w:spacing w:line="360" w:lineRule="auto"/>
        <w:ind w:firstLine="3570" w:firstLineChars="1700"/>
        <w:rPr>
          <w:rFonts w:ascii="宋体" w:hAnsi="宋体" w:cs="宋体"/>
          <w:color w:val="000000"/>
          <w:szCs w:val="21"/>
          <w:highlight w:val="none"/>
        </w:rPr>
      </w:pPr>
    </w:p>
    <w:p>
      <w:pPr>
        <w:pStyle w:val="24"/>
        <w:rPr>
          <w:rFonts w:ascii="宋体" w:hAnsi="宋体" w:cs="宋体"/>
          <w:color w:val="000000"/>
          <w:szCs w:val="21"/>
          <w:highlight w:val="none"/>
        </w:rPr>
      </w:pPr>
    </w:p>
    <w:p>
      <w:pPr>
        <w:rPr>
          <w:rFonts w:ascii="宋体" w:hAnsi="宋体" w:cs="宋体"/>
          <w:color w:val="000000"/>
          <w:szCs w:val="21"/>
          <w:highlight w:val="none"/>
        </w:rPr>
      </w:pPr>
    </w:p>
    <w:p>
      <w:pPr>
        <w:pStyle w:val="24"/>
        <w:rPr>
          <w:rFonts w:ascii="宋体" w:hAnsi="宋体" w:cs="宋体"/>
          <w:color w:val="000000"/>
          <w:szCs w:val="21"/>
          <w:highlight w:val="none"/>
        </w:rPr>
      </w:pPr>
    </w:p>
    <w:p>
      <w:pPr>
        <w:rPr>
          <w:rFonts w:ascii="宋体" w:hAnsi="宋体" w:cs="宋体"/>
          <w:color w:val="000000"/>
          <w:szCs w:val="21"/>
          <w:highlight w:val="none"/>
        </w:rPr>
      </w:pPr>
    </w:p>
    <w:p>
      <w:pPr>
        <w:pStyle w:val="24"/>
        <w:rPr>
          <w:rFonts w:ascii="宋体" w:hAnsi="宋体" w:cs="宋体"/>
          <w:color w:val="000000"/>
          <w:szCs w:val="21"/>
          <w:highlight w:val="none"/>
        </w:rPr>
      </w:pPr>
    </w:p>
    <w:p>
      <w:pPr>
        <w:rPr>
          <w:rFonts w:ascii="宋体" w:hAnsi="宋体" w:cs="宋体"/>
          <w:color w:val="000000"/>
          <w:szCs w:val="21"/>
          <w:highlight w:val="none"/>
        </w:rPr>
      </w:pPr>
    </w:p>
    <w:p>
      <w:pPr>
        <w:pStyle w:val="24"/>
        <w:rPr>
          <w:rFonts w:ascii="宋体" w:hAnsi="宋体" w:cs="宋体"/>
          <w:color w:val="000000"/>
          <w:szCs w:val="21"/>
          <w:highlight w:val="none"/>
        </w:rPr>
      </w:pPr>
    </w:p>
    <w:p/>
    <w:p>
      <w:pPr>
        <w:spacing w:line="360" w:lineRule="auto"/>
        <w:ind w:firstLine="3570" w:firstLineChars="1700"/>
        <w:rPr>
          <w:rFonts w:ascii="宋体" w:hAnsi="宋体" w:cs="宋体"/>
          <w:color w:val="000000"/>
          <w:szCs w:val="21"/>
          <w:highlight w:val="none"/>
        </w:rPr>
      </w:pPr>
    </w:p>
    <w:p>
      <w:pPr>
        <w:spacing w:line="360" w:lineRule="auto"/>
        <w:ind w:firstLine="3570" w:firstLineChars="1700"/>
        <w:rPr>
          <w:rFonts w:ascii="宋体" w:hAnsi="宋体" w:cs="宋体"/>
          <w:color w:val="000000"/>
          <w:szCs w:val="21"/>
          <w:highlight w:val="none"/>
        </w:rPr>
      </w:pPr>
    </w:p>
    <w:p>
      <w:pPr>
        <w:pStyle w:val="8"/>
        <w:jc w:val="center"/>
        <w:rPr>
          <w:rFonts w:hAnsi="宋体" w:cs="宋体"/>
          <w:highlight w:val="none"/>
          <w:u w:val="single"/>
        </w:rPr>
      </w:pPr>
      <w:bookmarkStart w:id="47" w:name="_Toc15489"/>
      <w:bookmarkStart w:id="48" w:name="_Toc55202323"/>
      <w:bookmarkStart w:id="49" w:name="_Toc10635"/>
      <w:r>
        <w:rPr>
          <w:rFonts w:hint="eastAsia" w:hAnsi="宋体" w:cs="宋体"/>
          <w:highlight w:val="none"/>
        </w:rPr>
        <w:t>最终报价表</w:t>
      </w:r>
      <w:bookmarkEnd w:id="47"/>
      <w:bookmarkEnd w:id="48"/>
      <w:bookmarkEnd w:id="49"/>
    </w:p>
    <w:p>
      <w:pPr>
        <w:spacing w:line="360" w:lineRule="auto"/>
        <w:rPr>
          <w:rFonts w:ascii="宋体" w:hAnsi="宋体" w:cs="宋体"/>
          <w:sz w:val="24"/>
          <w:highlight w:val="none"/>
        </w:rPr>
      </w:pPr>
      <w:r>
        <w:rPr>
          <w:rFonts w:hint="eastAsia" w:ascii="宋体" w:hAnsi="宋体" w:cs="宋体"/>
          <w:szCs w:val="21"/>
          <w:highlight w:val="none"/>
        </w:rPr>
        <w:t>项目名称：智慧文旅综合管理平台之安庆智慧博物馆系统建设信息化项目</w:t>
      </w:r>
      <w:r>
        <w:rPr>
          <w:rFonts w:hint="eastAsia" w:ascii="宋体" w:hAnsi="宋体" w:cs="宋体"/>
          <w:szCs w:val="21"/>
          <w:highlight w:val="none"/>
          <w:lang w:eastAsia="zh-CN"/>
        </w:rPr>
        <w:t>建设方案</w:t>
      </w:r>
      <w:r>
        <w:rPr>
          <w:rFonts w:hint="eastAsia" w:ascii="宋体" w:hAnsi="宋体" w:cs="宋体"/>
          <w:szCs w:val="21"/>
          <w:highlight w:val="none"/>
        </w:rPr>
        <w:t xml:space="preserve">编制  </w:t>
      </w:r>
    </w:p>
    <w:p>
      <w:pPr>
        <w:spacing w:line="360" w:lineRule="auto"/>
        <w:rPr>
          <w:rFonts w:hint="default" w:ascii="宋体" w:hAnsi="宋体" w:cs="宋体"/>
          <w:kern w:val="0"/>
          <w:sz w:val="24"/>
          <w:highlight w:val="none"/>
          <w:lang w:val="en-US"/>
        </w:rPr>
      </w:pPr>
      <w:r>
        <w:rPr>
          <w:rFonts w:hint="eastAsia" w:ascii="宋体" w:hAnsi="宋体" w:cs="宋体"/>
          <w:szCs w:val="21"/>
          <w:highlight w:val="none"/>
        </w:rPr>
        <w:t>项目编号：CG-AQ-W2022-</w:t>
      </w:r>
      <w:r>
        <w:rPr>
          <w:rFonts w:hint="eastAsia" w:ascii="宋体" w:hAnsi="宋体" w:cs="宋体"/>
          <w:szCs w:val="21"/>
          <w:highlight w:val="none"/>
          <w:lang w:eastAsia="zh-CN"/>
        </w:rPr>
        <w:t>0</w:t>
      </w:r>
      <w:r>
        <w:rPr>
          <w:rFonts w:hint="eastAsia" w:ascii="宋体" w:hAnsi="宋体" w:cs="宋体"/>
          <w:szCs w:val="21"/>
          <w:highlight w:val="none"/>
          <w:lang w:val="en-US" w:eastAsia="zh-CN"/>
        </w:rPr>
        <w:t>63</w:t>
      </w:r>
    </w:p>
    <w:p>
      <w:pPr>
        <w:spacing w:line="360" w:lineRule="auto"/>
        <w:ind w:firstLine="6090" w:firstLineChars="2900"/>
        <w:rPr>
          <w:rFonts w:ascii="宋体" w:hAnsi="宋体" w:cs="宋体"/>
          <w:highlight w:val="none"/>
        </w:rPr>
      </w:pPr>
      <w:r>
        <w:rPr>
          <w:rFonts w:hint="eastAsia" w:ascii="宋体" w:hAnsi="宋体" w:cs="宋体"/>
          <w:highlight w:val="none"/>
        </w:rPr>
        <w:t>金额单位：人民币（元）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sz w:val="24"/>
                <w:highlight w:val="none"/>
              </w:rPr>
            </w:pPr>
            <w:r>
              <w:rPr>
                <w:rFonts w:hint="eastAsia" w:ascii="宋体" w:hAnsi="宋体" w:cs="宋体"/>
                <w:sz w:val="24"/>
                <w:highlight w:val="none"/>
              </w:rPr>
              <w:t>最终报价</w:t>
            </w:r>
          </w:p>
        </w:tc>
        <w:tc>
          <w:tcPr>
            <w:tcW w:w="7507" w:type="dxa"/>
            <w:vAlign w:val="center"/>
          </w:tcPr>
          <w:p>
            <w:pPr>
              <w:wordWrap w:val="0"/>
              <w:spacing w:line="400" w:lineRule="exact"/>
              <w:rPr>
                <w:rFonts w:ascii="宋体" w:hAnsi="宋体" w:cs="宋体"/>
                <w:sz w:val="24"/>
                <w:highlight w:val="none"/>
              </w:rPr>
            </w:pPr>
            <w:r>
              <w:rPr>
                <w:rFonts w:hint="eastAsia" w:ascii="宋体" w:hAnsi="宋体" w:cs="宋体"/>
                <w:sz w:val="24"/>
                <w:highlight w:val="none"/>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sz w:val="24"/>
                <w:highlight w:val="none"/>
              </w:rPr>
            </w:pPr>
          </w:p>
        </w:tc>
        <w:tc>
          <w:tcPr>
            <w:tcW w:w="7507" w:type="dxa"/>
            <w:vAlign w:val="center"/>
          </w:tcPr>
          <w:p>
            <w:pPr>
              <w:wordWrap w:val="0"/>
              <w:rPr>
                <w:rFonts w:ascii="宋体" w:hAnsi="宋体" w:cs="宋体"/>
                <w:sz w:val="24"/>
                <w:highlight w:val="none"/>
              </w:rPr>
            </w:pPr>
            <w:r>
              <w:rPr>
                <w:rFonts w:hint="eastAsia" w:ascii="宋体" w:hAnsi="宋体" w:cs="宋体"/>
                <w:sz w:val="24"/>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sz w:val="24"/>
                <w:highlight w:val="none"/>
              </w:rPr>
            </w:pPr>
            <w:r>
              <w:rPr>
                <w:rFonts w:hint="eastAsia" w:ascii="宋体" w:hAnsi="宋体" w:cs="宋体"/>
                <w:sz w:val="24"/>
                <w:highlight w:val="none"/>
              </w:rPr>
              <w:t>备注：</w:t>
            </w:r>
          </w:p>
          <w:p>
            <w:pPr>
              <w:spacing w:line="400" w:lineRule="exact"/>
              <w:rPr>
                <w:rFonts w:ascii="宋体" w:hAnsi="宋体" w:cs="宋体"/>
                <w:sz w:val="24"/>
                <w:highlight w:val="none"/>
              </w:rPr>
            </w:pPr>
            <w:r>
              <w:rPr>
                <w:rFonts w:hint="eastAsia" w:ascii="宋体" w:hAnsi="宋体" w:cs="宋体"/>
                <w:sz w:val="24"/>
                <w:highlight w:val="none"/>
              </w:rPr>
              <w:t>1、分项报价按总报价的同等比例下浮；</w:t>
            </w:r>
          </w:p>
          <w:p>
            <w:pPr>
              <w:spacing w:line="400" w:lineRule="exact"/>
              <w:rPr>
                <w:rFonts w:ascii="宋体" w:hAnsi="宋体" w:cs="宋体"/>
                <w:sz w:val="24"/>
                <w:highlight w:val="none"/>
              </w:rPr>
            </w:pPr>
            <w:r>
              <w:rPr>
                <w:rFonts w:hint="eastAsia" w:ascii="宋体" w:hAnsi="宋体" w:cs="宋体"/>
                <w:sz w:val="24"/>
                <w:highlight w:val="none"/>
              </w:rPr>
              <w:t>2、最终报价保留两位小数，小数点后第三位四舍五入。</w:t>
            </w:r>
          </w:p>
        </w:tc>
      </w:tr>
    </w:tbl>
    <w:p>
      <w:pPr>
        <w:spacing w:line="360" w:lineRule="auto"/>
        <w:rPr>
          <w:rFonts w:ascii="宋体" w:hAnsi="宋体" w:cs="宋体"/>
          <w:b/>
          <w:sz w:val="24"/>
          <w:highlight w:val="none"/>
        </w:rPr>
      </w:pP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注：此表请各谈判响应人准备好，以便在谈判最终报价时使用。</w:t>
      </w:r>
      <w:r>
        <w:rPr>
          <w:rFonts w:hint="eastAsia" w:ascii="宋体" w:hAnsi="宋体" w:cs="宋体"/>
          <w:b/>
          <w:color w:val="000000"/>
          <w:sz w:val="24"/>
          <w:highlight w:val="none"/>
          <w:lang w:eastAsia="zh-CN"/>
        </w:rPr>
        <w:t>【</w:t>
      </w:r>
      <w:r>
        <w:rPr>
          <w:rFonts w:hint="eastAsia" w:ascii="宋体" w:hAnsi="宋体" w:cs="宋体"/>
          <w:b/>
          <w:color w:val="000000"/>
          <w:sz w:val="24"/>
          <w:highlight w:val="none"/>
        </w:rPr>
        <w:t>此表由谈判响应人谈判时，谈判响应人将最终报价表制作完成并加盖谈判响应人公章（PDF等不可编辑的电子文件）后应对最终报价表进行文档加密，谈判响应人将加密文件电子档发至</w:t>
      </w:r>
      <w:r>
        <w:rPr>
          <w:rFonts w:hint="eastAsia" w:ascii="宋体" w:hAnsi="宋体" w:cs="宋体"/>
          <w:b/>
          <w:color w:val="000000"/>
          <w:sz w:val="24"/>
          <w:highlight w:val="none"/>
          <w:lang w:eastAsia="zh-CN"/>
        </w:rPr>
        <w:t>2946607994</w:t>
      </w:r>
      <w:r>
        <w:rPr>
          <w:rFonts w:hint="eastAsia" w:ascii="宋体" w:hAnsi="宋体" w:cs="宋体"/>
          <w:b/>
          <w:color w:val="000000"/>
          <w:sz w:val="24"/>
          <w:highlight w:val="none"/>
        </w:rPr>
        <w:t>@qq.com邮箱。</w:t>
      </w:r>
      <w:r>
        <w:rPr>
          <w:rFonts w:hint="eastAsia" w:ascii="宋体" w:hAnsi="宋体" w:cs="宋体"/>
          <w:b/>
          <w:color w:val="000000"/>
          <w:sz w:val="24"/>
          <w:highlight w:val="none"/>
          <w:lang w:eastAsia="zh-CN"/>
        </w:rPr>
        <w:t>】</w:t>
      </w:r>
    </w:p>
    <w:p>
      <w:pPr>
        <w:spacing w:line="360" w:lineRule="auto"/>
        <w:ind w:firstLine="3465" w:firstLineChars="1650"/>
        <w:rPr>
          <w:rFonts w:ascii="宋体" w:hAnsi="宋体" w:cs="宋体"/>
          <w:color w:val="000000"/>
          <w:szCs w:val="21"/>
          <w:highlight w:val="none"/>
        </w:rPr>
      </w:pPr>
    </w:p>
    <w:p>
      <w:pPr>
        <w:spacing w:line="360" w:lineRule="auto"/>
        <w:ind w:firstLine="4095" w:firstLineChars="1950"/>
        <w:rPr>
          <w:rFonts w:ascii="宋体" w:hAnsi="宋体" w:cs="宋体"/>
          <w:color w:val="000000"/>
          <w:szCs w:val="21"/>
          <w:highlight w:val="none"/>
        </w:rPr>
      </w:pPr>
      <w:r>
        <w:rPr>
          <w:rFonts w:hint="eastAsia" w:ascii="宋体" w:hAnsi="宋体" w:cs="宋体"/>
          <w:color w:val="000000"/>
          <w:szCs w:val="21"/>
          <w:highlight w:val="none"/>
        </w:rPr>
        <w:t>谈判响应人：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（盖章）</w:t>
      </w:r>
    </w:p>
    <w:p>
      <w:pPr>
        <w:spacing w:line="360" w:lineRule="auto"/>
        <w:ind w:firstLine="3570" w:firstLineChars="1700"/>
        <w:rPr>
          <w:rFonts w:hint="eastAsia" w:ascii="宋体" w:hAnsi="宋体" w:cs="宋体"/>
          <w:color w:val="000000"/>
          <w:szCs w:val="21"/>
          <w:highlight w:val="none"/>
        </w:rPr>
      </w:pPr>
    </w:p>
    <w:p>
      <w:pPr>
        <w:spacing w:line="360" w:lineRule="auto"/>
        <w:ind w:firstLine="3570" w:firstLineChars="1700"/>
        <w:rPr>
          <w:rFonts w:ascii="宋体" w:hAnsi="宋体" w:cs="宋体"/>
          <w:color w:val="000000"/>
          <w:szCs w:val="21"/>
          <w:highlight w:val="none"/>
        </w:rPr>
      </w:pPr>
      <w:r>
        <w:rPr>
          <w:rFonts w:hint="eastAsia" w:ascii="宋体" w:hAnsi="宋体" w:cs="宋体"/>
          <w:color w:val="000000"/>
          <w:szCs w:val="21"/>
          <w:highlight w:val="none"/>
        </w:rPr>
        <w:t>法定代表人</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或授权委托人</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（盖章</w:t>
      </w:r>
      <w:r>
        <w:rPr>
          <w:rFonts w:hint="eastAsia" w:ascii="宋体" w:hAnsi="宋体" w:cs="宋体"/>
          <w:color w:val="000000"/>
          <w:szCs w:val="21"/>
          <w:highlight w:val="none"/>
          <w:lang w:val="en-US" w:eastAsia="zh-CN"/>
        </w:rPr>
        <w:t>或签字</w:t>
      </w:r>
      <w:r>
        <w:rPr>
          <w:rFonts w:hint="eastAsia" w:ascii="宋体" w:hAnsi="宋体" w:cs="宋体"/>
          <w:color w:val="000000"/>
          <w:szCs w:val="21"/>
          <w:highlight w:val="none"/>
        </w:rPr>
        <w:t>）</w:t>
      </w:r>
    </w:p>
    <w:p>
      <w:pPr>
        <w:spacing w:line="360" w:lineRule="auto"/>
        <w:ind w:firstLine="3570" w:firstLineChars="1700"/>
        <w:rPr>
          <w:rFonts w:ascii="宋体" w:hAnsi="宋体" w:cs="宋体"/>
          <w:szCs w:val="21"/>
          <w:highlight w:val="none"/>
        </w:rPr>
      </w:pPr>
    </w:p>
    <w:p>
      <w:pPr>
        <w:spacing w:line="360" w:lineRule="auto"/>
        <w:jc w:val="right"/>
        <w:rPr>
          <w:rFonts w:ascii="宋体" w:hAnsi="宋体" w:cs="宋体"/>
          <w:color w:val="000000"/>
          <w:szCs w:val="21"/>
          <w:highlight w:val="none"/>
        </w:rPr>
      </w:pPr>
      <w:r>
        <w:rPr>
          <w:rFonts w:hint="eastAsia" w:ascii="宋体" w:hAnsi="宋体" w:cs="宋体"/>
          <w:szCs w:val="21"/>
          <w:highlight w:val="none"/>
        </w:rPr>
        <w:t>日  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widowControl/>
        <w:jc w:val="left"/>
        <w:rPr>
          <w:rFonts w:ascii="宋体" w:hAnsi="宋体" w:cs="宋体"/>
          <w:color w:val="000000"/>
          <w:szCs w:val="21"/>
          <w:highlight w:val="none"/>
        </w:rPr>
      </w:pPr>
      <w:r>
        <w:rPr>
          <w:rFonts w:ascii="宋体" w:hAnsi="宋体" w:cs="宋体"/>
          <w:color w:val="000000"/>
          <w:szCs w:val="21"/>
          <w:highlight w:val="none"/>
        </w:rPr>
        <w:br w:type="page"/>
      </w:r>
    </w:p>
    <w:p>
      <w:pPr>
        <w:pStyle w:val="8"/>
        <w:jc w:val="center"/>
        <w:rPr>
          <w:rFonts w:hAnsi="宋体" w:cs="宋体"/>
          <w:highlight w:val="none"/>
        </w:rPr>
      </w:pPr>
      <w:bookmarkStart w:id="50" w:name="_Toc28153"/>
      <w:bookmarkStart w:id="51" w:name="_Toc55202324"/>
      <w:r>
        <w:rPr>
          <w:rFonts w:hint="eastAsia" w:hAnsi="宋体" w:cs="宋体"/>
          <w:color w:val="000000"/>
          <w:highlight w:val="none"/>
        </w:rPr>
        <w:t>三、</w:t>
      </w:r>
      <w:bookmarkEnd w:id="50"/>
      <w:bookmarkStart w:id="52" w:name="_Toc25208"/>
      <w:r>
        <w:rPr>
          <w:rFonts w:hint="eastAsia" w:hAnsi="宋体" w:cs="宋体"/>
          <w:highlight w:val="none"/>
        </w:rPr>
        <w:t>服务内容及质量要求响应表</w:t>
      </w:r>
      <w:bookmarkEnd w:id="51"/>
      <w:bookmarkEnd w:id="52"/>
    </w:p>
    <w:p>
      <w:pPr>
        <w:spacing w:line="360" w:lineRule="auto"/>
        <w:rPr>
          <w:rFonts w:hint="eastAsia" w:ascii="宋体" w:hAnsi="宋体" w:eastAsia="宋体" w:cs="宋体"/>
          <w:b/>
          <w:szCs w:val="21"/>
          <w:highlight w:val="none"/>
          <w:lang w:eastAsia="zh-CN"/>
        </w:rPr>
      </w:pPr>
      <w:r>
        <w:rPr>
          <w:rFonts w:hint="eastAsia" w:ascii="宋体" w:hAnsi="宋体" w:cs="宋体"/>
          <w:szCs w:val="21"/>
          <w:highlight w:val="none"/>
        </w:rPr>
        <w:t>项目名称：</w:t>
      </w:r>
      <w:r>
        <w:rPr>
          <w:rFonts w:hint="eastAsia" w:ascii="宋体" w:hAnsi="宋体" w:eastAsia="宋体" w:cs="宋体"/>
          <w:color w:val="000000"/>
          <w:szCs w:val="21"/>
          <w:highlight w:val="none"/>
          <w:lang w:eastAsia="zh-CN"/>
        </w:rPr>
        <w:t>智慧文旅综合管理平台之安庆智慧博物馆系统建设信息化项目</w:t>
      </w:r>
      <w:r>
        <w:rPr>
          <w:rFonts w:hint="eastAsia" w:ascii="宋体" w:hAnsi="宋体" w:cs="宋体"/>
          <w:szCs w:val="21"/>
          <w:highlight w:val="none"/>
          <w:lang w:eastAsia="zh-CN"/>
        </w:rPr>
        <w:t>建设方案</w:t>
      </w:r>
      <w:r>
        <w:rPr>
          <w:rFonts w:hint="eastAsia" w:ascii="宋体" w:hAnsi="宋体" w:cs="宋体"/>
          <w:szCs w:val="21"/>
          <w:highlight w:val="none"/>
        </w:rPr>
        <w:t xml:space="preserve">编制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577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trPr>
        <w:tc>
          <w:tcPr>
            <w:tcW w:w="85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5778"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响应服务内容质量要求</w:t>
            </w:r>
          </w:p>
        </w:tc>
        <w:tc>
          <w:tcPr>
            <w:tcW w:w="2127"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1" w:hRule="exact"/>
        </w:trPr>
        <w:tc>
          <w:tcPr>
            <w:tcW w:w="853" w:type="dxa"/>
            <w:vAlign w:val="center"/>
          </w:tcPr>
          <w:p>
            <w:pPr>
              <w:spacing w:line="360" w:lineRule="auto"/>
              <w:jc w:val="center"/>
              <w:rPr>
                <w:rFonts w:hint="eastAsia" w:ascii="宋体" w:hAnsi="宋体" w:eastAsia="宋体" w:cs="宋体"/>
                <w:spacing w:val="-4"/>
                <w:szCs w:val="21"/>
                <w:highlight w:val="none"/>
                <w:lang w:val="en-US" w:eastAsia="zh-CN"/>
              </w:rPr>
            </w:pPr>
            <w:r>
              <w:rPr>
                <w:rFonts w:hint="eastAsia" w:ascii="宋体" w:hAnsi="宋体" w:cs="宋体"/>
                <w:spacing w:val="-4"/>
                <w:szCs w:val="21"/>
                <w:highlight w:val="none"/>
                <w:lang w:val="en-US" w:eastAsia="zh-CN"/>
              </w:rPr>
              <w:t>1</w:t>
            </w:r>
          </w:p>
        </w:tc>
        <w:tc>
          <w:tcPr>
            <w:tcW w:w="5778" w:type="dxa"/>
            <w:vAlign w:val="center"/>
          </w:tcPr>
          <w:p>
            <w:pPr>
              <w:spacing w:line="360" w:lineRule="auto"/>
              <w:jc w:val="left"/>
              <w:rPr>
                <w:rFonts w:ascii="宋体" w:hAnsi="宋体" w:cs="宋体"/>
                <w:szCs w:val="21"/>
                <w:highlight w:val="none"/>
              </w:rPr>
            </w:pPr>
            <w:r>
              <w:rPr>
                <w:rFonts w:hint="eastAsia" w:ascii="宋体" w:hAnsi="宋体" w:cs="宋体"/>
                <w:color w:val="000000"/>
                <w:szCs w:val="21"/>
                <w:highlight w:val="none"/>
                <w:lang w:eastAsia="zh-CN"/>
              </w:rPr>
              <w:t>本项目针对安庆博物馆文物数字化采集、加工、存储、管理与利用需求，在整合现有数字化保护成果基础上，集成文物云计算、大数据、人工智能和移动互联网等技术，应用先进的数字化采集技术和多媒体展示技术，再结合有效的管理机制，搭建一个具有开放式架构，高度可扩展和可演化的文物数字化保护体系，以适应博物馆日渐增长的文物数字化保护与利用需求。最大程度将安庆博物馆建设成符合时代特点、满足多元需求的智慧博物馆，提升博物馆展示、服务、运营、管理的智能化水平，打造集历史探索、文物欣赏、艺术展示、文化休闲、服务娱乐于一体，更多适应不同观众群的多样性的公共文化空间，讲好“安庆故事”，成为长三角文化地标。中标单位需完成“安庆博物馆智慧博物馆系统信息化项目”建设方案编制工作，建设方案质量及深度必须满足国家现行的行业设计文件编制深度规定及行业相关规范要求，并顺利通过有关审查。</w:t>
            </w:r>
          </w:p>
        </w:tc>
        <w:tc>
          <w:tcPr>
            <w:tcW w:w="2127" w:type="dxa"/>
            <w:vAlign w:val="center"/>
          </w:tcPr>
          <w:p>
            <w:pPr>
              <w:spacing w:line="360" w:lineRule="auto"/>
              <w:jc w:val="center"/>
              <w:rPr>
                <w:rFonts w:ascii="宋体" w:hAnsi="宋体" w:cs="宋体"/>
                <w:b/>
                <w:szCs w:val="21"/>
                <w:highlight w:val="none"/>
              </w:rPr>
            </w:pPr>
          </w:p>
        </w:tc>
      </w:tr>
    </w:tbl>
    <w:p>
      <w:pPr>
        <w:tabs>
          <w:tab w:val="left" w:pos="1815"/>
        </w:tabs>
        <w:spacing w:line="360" w:lineRule="auto"/>
        <w:ind w:firstLine="413" w:firstLineChars="196"/>
        <w:rPr>
          <w:rFonts w:ascii="宋体" w:hAnsi="宋体" w:cs="宋体"/>
          <w:b/>
          <w:szCs w:val="21"/>
          <w:highlight w:val="none"/>
        </w:rPr>
      </w:pPr>
      <w:r>
        <w:rPr>
          <w:rFonts w:hint="eastAsia" w:ascii="宋体" w:hAnsi="宋体" w:cs="宋体"/>
          <w:b/>
          <w:szCs w:val="21"/>
          <w:highlight w:val="none"/>
        </w:rPr>
        <w:t>注：</w:t>
      </w:r>
    </w:p>
    <w:p>
      <w:pPr>
        <w:tabs>
          <w:tab w:val="left" w:pos="1815"/>
        </w:tabs>
        <w:spacing w:line="360" w:lineRule="auto"/>
        <w:ind w:firstLine="411" w:firstLineChars="196"/>
        <w:rPr>
          <w:rFonts w:ascii="宋体" w:hAnsi="宋体" w:cs="宋体"/>
          <w:szCs w:val="21"/>
          <w:highlight w:val="none"/>
        </w:rPr>
      </w:pPr>
      <w:r>
        <w:rPr>
          <w:rFonts w:hint="eastAsia" w:ascii="宋体" w:hAnsi="宋体" w:cs="宋体"/>
          <w:szCs w:val="21"/>
          <w:highlight w:val="none"/>
        </w:rPr>
        <w:t>1、谈判响应人必须将自己所投服务真实、准确地填入以上表格中。</w:t>
      </w:r>
    </w:p>
    <w:p>
      <w:pPr>
        <w:tabs>
          <w:tab w:val="left" w:pos="1815"/>
        </w:tabs>
        <w:spacing w:line="360" w:lineRule="auto"/>
        <w:ind w:left="1" w:firstLine="417" w:firstLineChars="199"/>
        <w:rPr>
          <w:rFonts w:ascii="宋体" w:hAnsi="宋体" w:cs="宋体"/>
          <w:szCs w:val="21"/>
          <w:highlight w:val="none"/>
        </w:rPr>
      </w:pPr>
      <w:r>
        <w:rPr>
          <w:rFonts w:hint="eastAsia" w:ascii="宋体" w:hAnsi="宋体" w:cs="宋体"/>
          <w:szCs w:val="21"/>
          <w:highlight w:val="none"/>
        </w:rPr>
        <w:t>2、谈判响应人必须根据自己所投服务与“服务需求及技术要求”的差异情况，实事求是地填写“响应情况”（优于、满足、不满足） 。</w:t>
      </w:r>
    </w:p>
    <w:p>
      <w:pPr>
        <w:tabs>
          <w:tab w:val="left" w:pos="1815"/>
        </w:tabs>
        <w:spacing w:line="360" w:lineRule="auto"/>
        <w:ind w:firstLine="420" w:firstLineChars="200"/>
        <w:rPr>
          <w:rFonts w:ascii="宋体" w:hAnsi="宋体" w:cs="宋体"/>
          <w:szCs w:val="21"/>
          <w:highlight w:val="none"/>
        </w:rPr>
      </w:pPr>
    </w:p>
    <w:p>
      <w:pPr>
        <w:spacing w:line="360" w:lineRule="auto"/>
        <w:ind w:firstLine="3561" w:firstLineChars="1696"/>
        <w:rPr>
          <w:rFonts w:ascii="宋体" w:hAnsi="宋体" w:cs="宋体"/>
          <w:szCs w:val="21"/>
          <w:highlight w:val="none"/>
        </w:rPr>
      </w:pPr>
      <w:r>
        <w:rPr>
          <w:rFonts w:hint="eastAsia" w:ascii="宋体" w:hAnsi="宋体" w:cs="宋体"/>
          <w:szCs w:val="21"/>
          <w:highlight w:val="none"/>
        </w:rPr>
        <w:t>谈判响应人：</w:t>
      </w:r>
      <w:r>
        <w:rPr>
          <w:rFonts w:hint="eastAsia" w:ascii="宋体" w:hAnsi="宋体" w:cs="宋体"/>
          <w:szCs w:val="21"/>
          <w:highlight w:val="none"/>
          <w:u w:val="single"/>
        </w:rPr>
        <w:t xml:space="preserve">                             </w:t>
      </w:r>
      <w:r>
        <w:rPr>
          <w:rFonts w:hint="eastAsia" w:ascii="宋体" w:hAnsi="宋体" w:cs="宋体"/>
          <w:szCs w:val="21"/>
          <w:highlight w:val="none"/>
        </w:rPr>
        <w:t>（盖章）</w:t>
      </w:r>
    </w:p>
    <w:p>
      <w:pPr>
        <w:spacing w:line="360" w:lineRule="auto"/>
        <w:ind w:firstLine="3570" w:firstLineChars="1700"/>
        <w:rPr>
          <w:rFonts w:ascii="宋体" w:hAnsi="宋体" w:cs="宋体"/>
          <w:szCs w:val="21"/>
          <w:highlight w:val="none"/>
        </w:rPr>
      </w:pPr>
      <w:r>
        <w:rPr>
          <w:rFonts w:hint="eastAsia" w:ascii="宋体" w:hAnsi="宋体" w:cs="宋体"/>
          <w:szCs w:val="21"/>
          <w:highlight w:val="none"/>
          <w:lang w:eastAsia="zh-CN"/>
        </w:rPr>
        <w:t>法定代表人（或授权委托人）</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eastAsia="zh-CN"/>
        </w:rPr>
        <w:t>盖章或签字</w:t>
      </w:r>
      <w:r>
        <w:rPr>
          <w:rFonts w:hint="eastAsia" w:ascii="宋体" w:hAnsi="宋体" w:cs="宋体"/>
          <w:szCs w:val="21"/>
          <w:highlight w:val="none"/>
        </w:rPr>
        <w:t>）</w:t>
      </w:r>
    </w:p>
    <w:p>
      <w:pPr>
        <w:spacing w:line="360" w:lineRule="auto"/>
        <w:ind w:firstLine="3570" w:firstLineChars="1700"/>
        <w:rPr>
          <w:rFonts w:ascii="宋体" w:hAnsi="宋体" w:cs="宋体"/>
          <w:szCs w:val="21"/>
          <w:highlight w:val="none"/>
        </w:rPr>
      </w:pPr>
      <w:r>
        <w:rPr>
          <w:rFonts w:hint="eastAsia" w:ascii="宋体" w:hAnsi="宋体" w:cs="宋体"/>
          <w:szCs w:val="21"/>
          <w:highlight w:val="none"/>
        </w:rPr>
        <w:t>日  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widowControl/>
        <w:jc w:val="left"/>
        <w:rPr>
          <w:rFonts w:ascii="宋体" w:hAnsi="宋体" w:cs="宋体"/>
          <w:szCs w:val="21"/>
          <w:highlight w:val="none"/>
        </w:rPr>
      </w:pPr>
      <w:r>
        <w:rPr>
          <w:rFonts w:ascii="宋体" w:hAnsi="宋体" w:cs="宋体"/>
          <w:szCs w:val="21"/>
          <w:highlight w:val="none"/>
        </w:rPr>
        <w:br w:type="page"/>
      </w:r>
    </w:p>
    <w:p>
      <w:pPr>
        <w:pStyle w:val="8"/>
        <w:jc w:val="center"/>
        <w:rPr>
          <w:rFonts w:hAnsi="宋体" w:cs="宋体"/>
          <w:color w:val="000000"/>
          <w:highlight w:val="none"/>
        </w:rPr>
      </w:pPr>
      <w:bookmarkStart w:id="53" w:name="_Toc25547"/>
      <w:bookmarkStart w:id="54" w:name="_Toc55202326"/>
      <w:r>
        <w:rPr>
          <w:rFonts w:hint="eastAsia" w:hAnsi="宋体" w:cs="宋体"/>
          <w:color w:val="000000"/>
          <w:highlight w:val="none"/>
          <w:lang w:val="en-US" w:eastAsia="zh-CN"/>
        </w:rPr>
        <w:t>四</w:t>
      </w:r>
      <w:r>
        <w:rPr>
          <w:rFonts w:hint="eastAsia" w:hAnsi="宋体" w:cs="宋体"/>
          <w:color w:val="000000"/>
          <w:highlight w:val="none"/>
        </w:rPr>
        <w:t>、诚信谈判响应承诺书</w:t>
      </w:r>
      <w:bookmarkEnd w:id="53"/>
      <w:bookmarkEnd w:id="54"/>
    </w:p>
    <w:p>
      <w:pPr>
        <w:rPr>
          <w:rFonts w:ascii="宋体" w:hAnsi="宋体" w:cs="宋体"/>
          <w:b/>
          <w:bCs/>
          <w:color w:val="000000"/>
          <w:sz w:val="24"/>
          <w:highlight w:val="none"/>
        </w:rPr>
      </w:pP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本人以企业法定代表人的身份郑重承诺：</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一、将遵循公开、公正和诚实信用的原则自愿参加</w:t>
      </w:r>
      <w:r>
        <w:rPr>
          <w:rFonts w:hint="eastAsia" w:ascii="宋体" w:hAnsi="宋体" w:cs="宋体"/>
          <w:b/>
          <w:bCs/>
          <w:color w:val="000000"/>
          <w:szCs w:val="21"/>
          <w:highlight w:val="none"/>
          <w:u w:val="single"/>
        </w:rPr>
        <w:t>智慧文旅综合管理平台之安庆智慧博物馆系统建设信息化项目</w:t>
      </w:r>
      <w:r>
        <w:rPr>
          <w:rFonts w:hint="eastAsia" w:ascii="宋体" w:hAnsi="宋体" w:cs="宋体"/>
          <w:b/>
          <w:bCs/>
          <w:color w:val="000000"/>
          <w:szCs w:val="21"/>
          <w:highlight w:val="none"/>
          <w:u w:val="single"/>
          <w:lang w:eastAsia="zh-CN"/>
        </w:rPr>
        <w:t>建设方案</w:t>
      </w:r>
      <w:r>
        <w:rPr>
          <w:rFonts w:hint="eastAsia" w:ascii="宋体" w:hAnsi="宋体" w:cs="宋体"/>
          <w:b/>
          <w:bCs/>
          <w:color w:val="000000"/>
          <w:szCs w:val="21"/>
          <w:highlight w:val="none"/>
          <w:u w:val="single"/>
        </w:rPr>
        <w:t>编制</w:t>
      </w:r>
      <w:r>
        <w:rPr>
          <w:rFonts w:hint="eastAsia" w:ascii="宋体" w:hAnsi="宋体" w:cs="宋体"/>
          <w:b/>
          <w:bCs/>
          <w:color w:val="000000"/>
          <w:szCs w:val="21"/>
          <w:highlight w:val="none"/>
        </w:rPr>
        <w:t>的竞争性谈判活动；</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 xml:space="preserve">二、所提供的一切材料都是真实、有效、合法的；  </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 xml:space="preserve">六、严格遵守开标现场纪律，服从监管人员管理；  </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七、保证成交后不转包，若有合法分包征得采购人同意；</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八、保证成交之后，按照谈判响应文件承诺提供货物、服务及派驻人员；</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九、保证企业及所属相关人员在本次谈判响应中无行贿等犯罪行为；</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 xml:space="preserve">十一、如在谈判响应过程和评审结果公告质疑期内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000000"/>
          <w:szCs w:val="21"/>
          <w:highlight w:val="none"/>
        </w:rPr>
      </w:pPr>
      <w:r>
        <w:rPr>
          <w:rFonts w:hint="eastAsia" w:ascii="宋体" w:hAnsi="宋体" w:cs="宋体"/>
          <w:b/>
          <w:bCs/>
          <w:color w:val="000000"/>
          <w:szCs w:val="21"/>
          <w:highlight w:val="none"/>
        </w:rPr>
        <w:t xml:space="preserve">  </w:t>
      </w:r>
    </w:p>
    <w:p>
      <w:pPr>
        <w:rPr>
          <w:rFonts w:ascii="宋体" w:hAnsi="宋体" w:cs="宋体"/>
          <w:b/>
          <w:bCs/>
          <w:color w:val="000000"/>
          <w:szCs w:val="21"/>
          <w:highlight w:val="none"/>
        </w:rPr>
      </w:pPr>
    </w:p>
    <w:p>
      <w:pPr>
        <w:jc w:val="center"/>
        <w:rPr>
          <w:rFonts w:ascii="宋体" w:hAnsi="宋体" w:cs="宋体"/>
          <w:b/>
          <w:bCs/>
          <w:color w:val="000000"/>
          <w:szCs w:val="21"/>
          <w:highlight w:val="none"/>
        </w:rPr>
      </w:pPr>
      <w:r>
        <w:rPr>
          <w:rFonts w:hint="eastAsia" w:ascii="宋体" w:hAnsi="宋体" w:cs="宋体"/>
          <w:b/>
          <w:bCs/>
          <w:color w:val="000000"/>
          <w:szCs w:val="21"/>
          <w:highlight w:val="none"/>
        </w:rPr>
        <w:t xml:space="preserve">                                      谈判响应单位（盖章）：</w:t>
      </w:r>
    </w:p>
    <w:p>
      <w:pPr>
        <w:jc w:val="right"/>
        <w:rPr>
          <w:rFonts w:ascii="宋体" w:hAnsi="宋体" w:cs="宋体"/>
          <w:b/>
          <w:bCs/>
          <w:color w:val="000000"/>
          <w:szCs w:val="21"/>
          <w:highlight w:val="none"/>
        </w:rPr>
      </w:pPr>
    </w:p>
    <w:p>
      <w:pPr>
        <w:jc w:val="center"/>
        <w:rPr>
          <w:rFonts w:ascii="宋体" w:hAnsi="宋体" w:cs="宋体"/>
          <w:b/>
          <w:bCs/>
          <w:color w:val="000000"/>
          <w:szCs w:val="21"/>
          <w:highlight w:val="none"/>
        </w:rPr>
      </w:pPr>
      <w:r>
        <w:rPr>
          <w:rFonts w:hint="eastAsia" w:ascii="宋体" w:hAnsi="宋体" w:cs="宋体"/>
          <w:b/>
          <w:bCs/>
          <w:color w:val="000000"/>
          <w:szCs w:val="21"/>
          <w:highlight w:val="none"/>
        </w:rPr>
        <w:t xml:space="preserve">                                     法定代表人（盖章）：</w:t>
      </w:r>
    </w:p>
    <w:p>
      <w:pPr>
        <w:jc w:val="right"/>
        <w:rPr>
          <w:rFonts w:ascii="宋体" w:hAnsi="宋体" w:cs="宋体"/>
          <w:b/>
          <w:bCs/>
          <w:color w:val="000000"/>
          <w:szCs w:val="21"/>
          <w:highlight w:val="none"/>
        </w:rPr>
      </w:pPr>
    </w:p>
    <w:p>
      <w:pPr>
        <w:ind w:right="480"/>
        <w:jc w:val="center"/>
        <w:rPr>
          <w:rFonts w:ascii="宋体" w:hAnsi="宋体" w:cs="宋体"/>
          <w:b/>
          <w:bCs/>
          <w:color w:val="000000"/>
          <w:sz w:val="24"/>
          <w:highlight w:val="none"/>
        </w:rPr>
      </w:pPr>
      <w:r>
        <w:rPr>
          <w:rFonts w:hint="eastAsia" w:ascii="宋体" w:hAnsi="宋体" w:cs="宋体"/>
          <w:b/>
          <w:bCs/>
          <w:color w:val="000000"/>
          <w:szCs w:val="21"/>
          <w:highlight w:val="none"/>
        </w:rPr>
        <w:t xml:space="preserve">                                               日期：_____年____月____日</w:t>
      </w:r>
      <w:bookmarkStart w:id="55" w:name="_Toc22272"/>
    </w:p>
    <w:p>
      <w:pPr>
        <w:ind w:right="480"/>
        <w:jc w:val="center"/>
        <w:rPr>
          <w:rFonts w:ascii="宋体" w:hAnsi="宋体" w:cs="宋体"/>
          <w:b/>
          <w:bCs/>
          <w:color w:val="000000"/>
          <w:sz w:val="24"/>
          <w:highlight w:val="none"/>
        </w:rPr>
      </w:pPr>
    </w:p>
    <w:p>
      <w:pPr>
        <w:ind w:right="480"/>
        <w:jc w:val="both"/>
        <w:rPr>
          <w:rFonts w:ascii="宋体" w:hAnsi="宋体" w:cs="宋体"/>
          <w:b/>
          <w:bCs/>
          <w:color w:val="000000"/>
          <w:sz w:val="24"/>
          <w:highlight w:val="none"/>
        </w:rPr>
      </w:pPr>
    </w:p>
    <w:p>
      <w:pPr>
        <w:pStyle w:val="8"/>
        <w:jc w:val="center"/>
        <w:rPr>
          <w:rFonts w:hAnsi="宋体" w:cs="宋体"/>
          <w:color w:val="000000"/>
          <w:highlight w:val="none"/>
          <w:bdr w:val="single" w:color="auto" w:sz="4" w:space="0"/>
        </w:rPr>
      </w:pPr>
      <w:bookmarkStart w:id="56" w:name="_Toc55202329"/>
      <w:r>
        <w:rPr>
          <w:rFonts w:hint="eastAsia" w:hAnsi="宋体" w:cs="宋体"/>
          <w:color w:val="000000"/>
          <w:highlight w:val="none"/>
          <w:lang w:val="en-US" w:eastAsia="zh-CN"/>
        </w:rPr>
        <w:t>五</w:t>
      </w:r>
      <w:r>
        <w:rPr>
          <w:rFonts w:hint="eastAsia" w:hAnsi="宋体" w:cs="宋体"/>
          <w:color w:val="000000"/>
          <w:highlight w:val="none"/>
        </w:rPr>
        <w:t>、资格证明文件</w:t>
      </w:r>
      <w:bookmarkEnd w:id="55"/>
      <w:bookmarkEnd w:id="56"/>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1、营业执照或事业单位法人证书；</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2、税务登记证；</w:t>
      </w:r>
    </w:p>
    <w:p>
      <w:pPr>
        <w:spacing w:line="360" w:lineRule="auto"/>
        <w:ind w:firstLine="420" w:firstLineChars="200"/>
        <w:rPr>
          <w:rFonts w:hint="eastAsia" w:ascii="宋体" w:hAnsi="宋体"/>
          <w:szCs w:val="21"/>
          <w:highlight w:val="yellow"/>
        </w:rPr>
      </w:pPr>
      <w:r>
        <w:rPr>
          <w:rFonts w:hint="eastAsia" w:ascii="宋体" w:hAnsi="宋体" w:cs="宋体"/>
          <w:color w:val="000000"/>
          <w:szCs w:val="21"/>
          <w:highlight w:val="none"/>
        </w:rPr>
        <w:t>（如为三证合一的，只需提供三证合一的营业执照）</w:t>
      </w:r>
    </w:p>
    <w:p>
      <w:pPr>
        <w:spacing w:line="360" w:lineRule="auto"/>
        <w:ind w:left="422"/>
        <w:rPr>
          <w:rFonts w:ascii="宋体" w:hAnsi="宋体"/>
          <w:b/>
          <w:bCs/>
          <w:szCs w:val="21"/>
          <w:highlight w:val="none"/>
        </w:rPr>
      </w:pPr>
      <w:r>
        <w:rPr>
          <w:rFonts w:hint="eastAsia" w:ascii="宋体" w:hAnsi="宋体"/>
          <w:b/>
          <w:bCs/>
          <w:szCs w:val="21"/>
          <w:highlight w:val="none"/>
        </w:rPr>
        <w:t>3、供应商声明函：</w:t>
      </w:r>
    </w:p>
    <w:p>
      <w:pPr>
        <w:spacing w:line="360" w:lineRule="auto"/>
        <w:ind w:left="422"/>
        <w:jc w:val="center"/>
        <w:rPr>
          <w:rFonts w:ascii="宋体" w:hAnsi="宋体"/>
          <w:b/>
          <w:bCs/>
          <w:szCs w:val="21"/>
          <w:highlight w:val="none"/>
        </w:rPr>
      </w:pPr>
      <w:r>
        <w:rPr>
          <w:rFonts w:hint="eastAsia" w:ascii="宋体" w:hAnsi="宋体"/>
          <w:b/>
          <w:bCs/>
          <w:szCs w:val="21"/>
          <w:highlight w:val="none"/>
        </w:rPr>
        <w:t>供应商声明函</w:t>
      </w:r>
    </w:p>
    <w:p>
      <w:pPr>
        <w:spacing w:line="360" w:lineRule="auto"/>
        <w:ind w:left="422" w:firstLine="420" w:firstLineChars="200"/>
        <w:rPr>
          <w:rFonts w:ascii="宋体" w:hAnsi="宋体"/>
          <w:szCs w:val="21"/>
          <w:highlight w:val="none"/>
        </w:rPr>
      </w:pPr>
      <w:r>
        <w:rPr>
          <w:rFonts w:hint="eastAsia" w:ascii="宋体" w:hAnsi="宋体"/>
          <w:szCs w:val="21"/>
          <w:highlight w:val="none"/>
        </w:rPr>
        <w:t>根据《中华人民共和国政府采购法》及《中华人民共和国政府采购法实施条例》 的规定，本</w:t>
      </w:r>
      <w:r>
        <w:rPr>
          <w:rFonts w:hint="eastAsia" w:ascii="宋体" w:hAnsi="宋体"/>
          <w:szCs w:val="21"/>
          <w:highlight w:val="none"/>
          <w:lang w:val="en-US" w:eastAsia="zh-CN"/>
        </w:rPr>
        <w:t>单位</w:t>
      </w:r>
      <w:r>
        <w:rPr>
          <w:rFonts w:hint="eastAsia" w:ascii="宋体" w:hAnsi="宋体"/>
          <w:szCs w:val="21"/>
          <w:highlight w:val="none"/>
        </w:rPr>
        <w:t xml:space="preserve">郑重声明：                                                   </w:t>
      </w:r>
    </w:p>
    <w:p>
      <w:pPr>
        <w:spacing w:line="360" w:lineRule="auto"/>
        <w:ind w:firstLine="840" w:firstLineChars="400"/>
        <w:rPr>
          <w:rFonts w:ascii="宋体" w:hAnsi="宋体"/>
          <w:szCs w:val="21"/>
          <w:highlight w:val="none"/>
        </w:rPr>
      </w:pPr>
      <w:r>
        <w:rPr>
          <w:rFonts w:hint="eastAsia" w:ascii="宋体" w:hAnsi="宋体"/>
          <w:szCs w:val="21"/>
          <w:highlight w:val="none"/>
        </w:rPr>
        <w:t>我</w:t>
      </w:r>
      <w:r>
        <w:rPr>
          <w:rFonts w:hint="eastAsia" w:ascii="宋体" w:hAnsi="宋体"/>
          <w:szCs w:val="21"/>
          <w:highlight w:val="none"/>
          <w:lang w:val="en-US" w:eastAsia="zh-CN"/>
        </w:rPr>
        <w:t>单位</w:t>
      </w:r>
      <w:r>
        <w:rPr>
          <w:rFonts w:hint="eastAsia" w:ascii="宋体" w:hAnsi="宋体"/>
          <w:szCs w:val="21"/>
          <w:highlight w:val="none"/>
        </w:rPr>
        <w:t>完全符合《中华人民共和国政府采购法》第二十二条规定</w:t>
      </w:r>
      <w:r>
        <w:rPr>
          <w:rFonts w:hint="eastAsia" w:ascii="宋体" w:hAnsi="宋体"/>
          <w:szCs w:val="21"/>
          <w:highlight w:val="none"/>
          <w:lang w:val="en-US" w:eastAsia="zh-CN"/>
        </w:rPr>
        <w:t>及本项目所要求的资格条件</w:t>
      </w:r>
      <w:r>
        <w:rPr>
          <w:rFonts w:hint="eastAsia" w:ascii="宋体" w:hAnsi="宋体"/>
          <w:szCs w:val="21"/>
          <w:highlight w:val="none"/>
        </w:rPr>
        <w:t xml:space="preserve">：              </w:t>
      </w:r>
    </w:p>
    <w:p>
      <w:pPr>
        <w:spacing w:line="360" w:lineRule="auto"/>
        <w:ind w:firstLine="840" w:firstLineChars="400"/>
        <w:rPr>
          <w:rFonts w:ascii="宋体" w:hAnsi="宋体"/>
          <w:szCs w:val="21"/>
          <w:highlight w:val="none"/>
        </w:rPr>
      </w:pPr>
      <w:r>
        <w:rPr>
          <w:rFonts w:hint="eastAsia" w:ascii="宋体" w:hAnsi="宋体"/>
          <w:szCs w:val="21"/>
          <w:highlight w:val="none"/>
        </w:rPr>
        <w:t xml:space="preserve">（1）具有独立承担民事责任的能力；                                          </w:t>
      </w:r>
    </w:p>
    <w:p>
      <w:pPr>
        <w:spacing w:line="360" w:lineRule="auto"/>
        <w:ind w:firstLine="840" w:firstLineChars="400"/>
        <w:rPr>
          <w:rFonts w:ascii="宋体" w:hAnsi="宋体"/>
          <w:szCs w:val="21"/>
          <w:highlight w:val="none"/>
        </w:rPr>
      </w:pPr>
      <w:r>
        <w:rPr>
          <w:rFonts w:hint="eastAsia" w:ascii="宋体" w:hAnsi="宋体"/>
          <w:szCs w:val="21"/>
          <w:highlight w:val="none"/>
        </w:rPr>
        <w:t xml:space="preserve">（2）具有良好的商业信誉和健全的财务会计制度；                              </w:t>
      </w:r>
    </w:p>
    <w:p>
      <w:pPr>
        <w:spacing w:line="360" w:lineRule="auto"/>
        <w:ind w:left="420" w:leftChars="200" w:firstLine="420" w:firstLineChars="200"/>
        <w:rPr>
          <w:rFonts w:ascii="宋体" w:hAnsi="宋体"/>
          <w:szCs w:val="21"/>
          <w:highlight w:val="none"/>
        </w:rPr>
      </w:pPr>
      <w:r>
        <w:rPr>
          <w:rFonts w:hint="eastAsia" w:ascii="宋体" w:hAnsi="宋体"/>
          <w:szCs w:val="21"/>
          <w:highlight w:val="none"/>
        </w:rPr>
        <w:t xml:space="preserve">（3）具有履行合同所必需的设备和专业技术能力；                              </w:t>
      </w:r>
    </w:p>
    <w:p>
      <w:pPr>
        <w:spacing w:line="360" w:lineRule="auto"/>
        <w:ind w:left="420" w:leftChars="200" w:firstLine="420" w:firstLineChars="200"/>
        <w:rPr>
          <w:rFonts w:ascii="宋体" w:hAnsi="宋体"/>
          <w:szCs w:val="21"/>
          <w:highlight w:val="none"/>
        </w:rPr>
      </w:pPr>
      <w:r>
        <w:rPr>
          <w:rFonts w:hint="eastAsia" w:ascii="宋体" w:hAnsi="宋体"/>
          <w:szCs w:val="21"/>
          <w:highlight w:val="none"/>
        </w:rPr>
        <w:t xml:space="preserve">（4）有依法缴纳税收和社会保障资金的良好记录；                              </w:t>
      </w:r>
    </w:p>
    <w:p>
      <w:pPr>
        <w:spacing w:line="360" w:lineRule="auto"/>
        <w:ind w:left="420" w:leftChars="200" w:firstLine="420" w:firstLineChars="200"/>
        <w:rPr>
          <w:rFonts w:hint="eastAsia" w:ascii="宋体" w:hAnsi="宋体"/>
          <w:szCs w:val="21"/>
          <w:highlight w:val="none"/>
        </w:rPr>
      </w:pPr>
      <w:r>
        <w:rPr>
          <w:rFonts w:hint="eastAsia" w:ascii="宋体" w:hAnsi="宋体"/>
          <w:szCs w:val="21"/>
          <w:highlight w:val="none"/>
        </w:rPr>
        <w:t>（5）参加政府采购活动前三年内，在经营活动中没有重大违法记录</w:t>
      </w:r>
      <w:r>
        <w:rPr>
          <w:rFonts w:hint="eastAsia" w:ascii="宋体" w:hAnsi="宋体"/>
          <w:szCs w:val="21"/>
          <w:highlight w:val="none"/>
          <w:lang w:eastAsia="zh-CN"/>
        </w:rPr>
        <w:t>，</w:t>
      </w:r>
      <w:r>
        <w:rPr>
          <w:rFonts w:hint="eastAsia" w:ascii="宋体" w:hAnsi="宋体"/>
          <w:szCs w:val="21"/>
          <w:highlight w:val="none"/>
        </w:rPr>
        <w:t xml:space="preserve">包括：我单位因违法经营受到刑事处罚或者责令停产停业、吊销许可证或者执照、较大数额罚款等行政处罚；   </w:t>
      </w:r>
    </w:p>
    <w:p>
      <w:pPr>
        <w:spacing w:line="360" w:lineRule="auto"/>
        <w:ind w:firstLine="840" w:firstLineChars="400"/>
        <w:rPr>
          <w:rFonts w:ascii="宋体" w:hAnsi="宋体"/>
          <w:szCs w:val="21"/>
          <w:highlight w:val="none"/>
        </w:rPr>
      </w:pPr>
      <w:r>
        <w:rPr>
          <w:rFonts w:hint="eastAsia" w:ascii="宋体" w:hAnsi="宋体"/>
          <w:strike w:val="0"/>
          <w:dstrike w:val="0"/>
          <w:szCs w:val="21"/>
          <w:highlight w:val="none"/>
        </w:rPr>
        <w:t>（6）我单位不在财政部门依法作出的禁止参加政府采购活动的行政处罚期限内</w:t>
      </w:r>
      <w:r>
        <w:rPr>
          <w:rFonts w:hint="eastAsia" w:ascii="宋体" w:hAnsi="宋体"/>
          <w:strike w:val="0"/>
          <w:dstrike w:val="0"/>
          <w:szCs w:val="21"/>
          <w:highlight w:val="none"/>
          <w:lang w:eastAsia="zh-CN"/>
        </w:rPr>
        <w:t>；</w:t>
      </w:r>
      <w:r>
        <w:rPr>
          <w:rFonts w:hint="eastAsia" w:ascii="宋体" w:hAnsi="宋体"/>
          <w:szCs w:val="21"/>
          <w:highlight w:val="none"/>
        </w:rPr>
        <w:t xml:space="preserve">                       </w:t>
      </w:r>
    </w:p>
    <w:p>
      <w:pPr>
        <w:spacing w:line="360" w:lineRule="auto"/>
        <w:ind w:left="420" w:leftChars="200"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7</w:t>
      </w:r>
      <w:r>
        <w:rPr>
          <w:rFonts w:hint="eastAsia" w:ascii="宋体" w:hAnsi="宋体"/>
          <w:szCs w:val="21"/>
          <w:highlight w:val="none"/>
        </w:rPr>
        <w:t xml:space="preserve">）符合法律、行政法规规定的其他条件。                                    </w:t>
      </w:r>
    </w:p>
    <w:p>
      <w:pPr>
        <w:spacing w:line="360" w:lineRule="auto"/>
        <w:ind w:left="422" w:firstLine="420" w:firstLineChars="200"/>
        <w:rPr>
          <w:rFonts w:ascii="宋体" w:hAnsi="宋体"/>
          <w:szCs w:val="21"/>
          <w:highlight w:val="none"/>
        </w:rPr>
      </w:pPr>
      <w:r>
        <w:rPr>
          <w:rFonts w:hint="eastAsia" w:ascii="宋体" w:hAnsi="宋体"/>
          <w:szCs w:val="21"/>
          <w:highlight w:val="none"/>
        </w:rPr>
        <w:t>我</w:t>
      </w:r>
      <w:r>
        <w:rPr>
          <w:rFonts w:hint="eastAsia" w:ascii="宋体" w:hAnsi="宋体"/>
          <w:szCs w:val="21"/>
          <w:highlight w:val="none"/>
          <w:lang w:val="en-US" w:eastAsia="zh-CN"/>
        </w:rPr>
        <w:t>单位</w:t>
      </w:r>
      <w:r>
        <w:rPr>
          <w:rFonts w:hint="eastAsia" w:ascii="宋体" w:hAnsi="宋体"/>
          <w:szCs w:val="21"/>
          <w:highlight w:val="none"/>
        </w:rPr>
        <w:t>承诺：合同签订前，若我</w:t>
      </w:r>
      <w:r>
        <w:rPr>
          <w:rFonts w:hint="eastAsia" w:ascii="宋体" w:hAnsi="宋体"/>
          <w:szCs w:val="21"/>
          <w:highlight w:val="none"/>
          <w:lang w:val="en-US" w:eastAsia="zh-CN"/>
        </w:rPr>
        <w:t>单位</w:t>
      </w:r>
      <w:r>
        <w:rPr>
          <w:rFonts w:hint="eastAsia" w:ascii="宋体" w:hAnsi="宋体"/>
          <w:szCs w:val="21"/>
          <w:highlight w:val="none"/>
        </w:rPr>
        <w:t>不符合《中华人民共和国政府采购法》第二十二条规定</w:t>
      </w:r>
      <w:r>
        <w:rPr>
          <w:rFonts w:hint="eastAsia" w:ascii="宋体" w:hAnsi="宋体"/>
          <w:szCs w:val="21"/>
          <w:highlight w:val="none"/>
          <w:lang w:val="en-US" w:eastAsia="zh-CN"/>
        </w:rPr>
        <w:t>及本项目所要求的资格条件</w:t>
      </w:r>
      <w:r>
        <w:rPr>
          <w:rFonts w:hint="eastAsia" w:ascii="宋体" w:hAnsi="宋体"/>
          <w:szCs w:val="21"/>
          <w:highlight w:val="none"/>
        </w:rPr>
        <w:t>，贵方可取消我</w:t>
      </w:r>
      <w:r>
        <w:rPr>
          <w:rFonts w:hint="eastAsia" w:ascii="宋体" w:hAnsi="宋体"/>
          <w:szCs w:val="21"/>
          <w:highlight w:val="none"/>
          <w:lang w:val="en-US" w:eastAsia="zh-CN"/>
        </w:rPr>
        <w:t>单位</w:t>
      </w:r>
      <w:r>
        <w:rPr>
          <w:rFonts w:hint="eastAsia" w:ascii="宋体" w:hAnsi="宋体"/>
          <w:szCs w:val="21"/>
          <w:highlight w:val="none"/>
        </w:rPr>
        <w:t>成交资格或者不授予合同，所有责任由我</w:t>
      </w:r>
      <w:r>
        <w:rPr>
          <w:rFonts w:hint="eastAsia" w:ascii="宋体" w:hAnsi="宋体"/>
          <w:szCs w:val="21"/>
          <w:highlight w:val="none"/>
          <w:lang w:val="en-US" w:eastAsia="zh-CN"/>
        </w:rPr>
        <w:t>单位</w:t>
      </w:r>
      <w:r>
        <w:rPr>
          <w:rFonts w:hint="eastAsia" w:ascii="宋体" w:hAnsi="宋体"/>
          <w:szCs w:val="21"/>
          <w:highlight w:val="none"/>
        </w:rPr>
        <w:t>自行承担。同时， 我</w:t>
      </w:r>
      <w:r>
        <w:rPr>
          <w:rFonts w:hint="eastAsia" w:ascii="宋体" w:hAnsi="宋体"/>
          <w:szCs w:val="21"/>
          <w:highlight w:val="none"/>
          <w:lang w:val="en-US" w:eastAsia="zh-CN"/>
        </w:rPr>
        <w:t>单位</w:t>
      </w:r>
      <w:r>
        <w:rPr>
          <w:rFonts w:hint="eastAsia" w:ascii="宋体" w:hAnsi="宋体"/>
          <w:szCs w:val="21"/>
          <w:highlight w:val="none"/>
        </w:rPr>
        <w:t>愿意无条件接受监管部门的调查处理。</w:t>
      </w:r>
    </w:p>
    <w:p>
      <w:pPr>
        <w:spacing w:line="360" w:lineRule="auto"/>
        <w:ind w:left="422" w:firstLine="420" w:firstLineChars="200"/>
        <w:rPr>
          <w:rFonts w:ascii="宋体" w:hAnsi="宋体"/>
          <w:szCs w:val="21"/>
          <w:highlight w:val="none"/>
        </w:rPr>
      </w:pPr>
      <w:r>
        <w:rPr>
          <w:rFonts w:hint="eastAsia" w:ascii="宋体" w:hAnsi="宋体"/>
          <w:szCs w:val="21"/>
          <w:highlight w:val="none"/>
        </w:rPr>
        <w:t>本</w:t>
      </w:r>
      <w:r>
        <w:rPr>
          <w:rFonts w:hint="eastAsia" w:ascii="宋体" w:hAnsi="宋体"/>
          <w:szCs w:val="21"/>
          <w:highlight w:val="none"/>
          <w:lang w:val="en-US" w:eastAsia="zh-CN"/>
        </w:rPr>
        <w:t>单位</w:t>
      </w:r>
      <w:r>
        <w:rPr>
          <w:rFonts w:hint="eastAsia" w:ascii="宋体" w:hAnsi="宋体"/>
          <w:szCs w:val="21"/>
          <w:highlight w:val="none"/>
        </w:rPr>
        <w:t>对上述声明的真实性负责。如有虚假，将依法承担相应责任。</w:t>
      </w:r>
    </w:p>
    <w:p>
      <w:pPr>
        <w:spacing w:line="360" w:lineRule="auto"/>
        <w:ind w:left="422"/>
        <w:rPr>
          <w:rFonts w:ascii="宋体" w:hAnsi="宋体"/>
          <w:szCs w:val="21"/>
          <w:highlight w:val="none"/>
        </w:rPr>
      </w:pPr>
    </w:p>
    <w:p>
      <w:pPr>
        <w:spacing w:line="360" w:lineRule="auto"/>
        <w:ind w:left="422"/>
        <w:rPr>
          <w:rFonts w:ascii="宋体" w:hAnsi="宋体"/>
          <w:szCs w:val="21"/>
          <w:highlight w:val="none"/>
        </w:rPr>
      </w:pPr>
    </w:p>
    <w:p>
      <w:pPr>
        <w:spacing w:line="360" w:lineRule="auto"/>
        <w:ind w:firstLine="420" w:firstLineChars="200"/>
        <w:jc w:val="right"/>
        <w:rPr>
          <w:rFonts w:hint="eastAsia" w:ascii="宋体" w:hAnsi="宋体"/>
          <w:szCs w:val="21"/>
          <w:highlight w:val="none"/>
        </w:rPr>
      </w:pPr>
      <w:r>
        <w:rPr>
          <w:rFonts w:hint="eastAsia" w:ascii="宋体" w:hAnsi="宋体"/>
          <w:szCs w:val="21"/>
          <w:highlight w:val="none"/>
        </w:rPr>
        <w:t>供应商公章：_______________________</w:t>
      </w:r>
      <w:r>
        <w:rPr>
          <w:rFonts w:hint="eastAsia" w:ascii="宋体" w:hAnsi="宋体"/>
          <w:szCs w:val="21"/>
          <w:highlight w:val="none"/>
          <w:lang w:val="en-US" w:eastAsia="zh-CN"/>
        </w:rPr>
        <w:t xml:space="preserve">                                           </w:t>
      </w:r>
    </w:p>
    <w:p>
      <w:pPr>
        <w:spacing w:line="360" w:lineRule="auto"/>
        <w:jc w:val="center"/>
        <w:outlineLvl w:val="2"/>
        <w:rPr>
          <w:rFonts w:asciiTheme="minorEastAsia" w:hAnsiTheme="minorEastAsia" w:eastAsiaTheme="minorEastAsia"/>
          <w:b/>
          <w:sz w:val="24"/>
          <w:highlight w:val="none"/>
        </w:rPr>
      </w:pPr>
      <w:r>
        <w:rPr>
          <w:rFonts w:hint="eastAsia" w:hAnsi="宋体"/>
          <w:szCs w:val="21"/>
          <w:highlight w:val="none"/>
        </w:rPr>
        <w:t xml:space="preserve">               </w:t>
      </w:r>
      <w:r>
        <w:rPr>
          <w:rFonts w:hint="default" w:hAnsi="宋体"/>
          <w:szCs w:val="21"/>
          <w:highlight w:val="none"/>
          <w:lang w:val="en-US"/>
        </w:rPr>
        <w:t xml:space="preserve">                                 </w:t>
      </w:r>
      <w:r>
        <w:rPr>
          <w:rFonts w:hint="eastAsia" w:hAnsi="宋体"/>
          <w:szCs w:val="21"/>
          <w:highlight w:val="none"/>
        </w:rPr>
        <w:t xml:space="preserve"> 日期：       年     月     日</w:t>
      </w:r>
    </w:p>
    <w:p>
      <w:pPr>
        <w:spacing w:line="360" w:lineRule="auto"/>
        <w:ind w:firstLine="420" w:firstLineChars="200"/>
        <w:rPr>
          <w:rFonts w:hint="eastAsia" w:ascii="宋体" w:hAnsi="宋体" w:cs="宋体"/>
          <w:color w:val="000000"/>
          <w:szCs w:val="21"/>
          <w:highlight w:val="none"/>
        </w:rPr>
      </w:pP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4、法定代表人身份证明书（格式见附件）及其有效二代居民身份证；</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5、法定代表人授权委托书（格式见附件）及其委托代理人有效二代居民身份证；</w:t>
      </w:r>
    </w:p>
    <w:p>
      <w:pPr>
        <w:spacing w:line="360" w:lineRule="auto"/>
        <w:rPr>
          <w:rFonts w:ascii="宋体" w:hAnsi="宋体" w:cs="宋体"/>
          <w:color w:val="000000"/>
          <w:szCs w:val="21"/>
          <w:highlight w:val="none"/>
        </w:rPr>
      </w:pP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、本项目竞争性谈判文件中要求谈判响应人提供的其他证明材料。</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、须提供上述证明文件复印件或扫描件或影印件。</w:t>
      </w:r>
    </w:p>
    <w:p>
      <w:pPr>
        <w:spacing w:line="360" w:lineRule="auto"/>
        <w:ind w:firstLine="411" w:firstLineChars="196"/>
        <w:jc w:val="center"/>
        <w:rPr>
          <w:rFonts w:ascii="宋体" w:hAnsi="宋体" w:cs="宋体"/>
          <w:color w:val="000000"/>
          <w:szCs w:val="21"/>
          <w:highlight w:val="none"/>
        </w:rPr>
      </w:pPr>
    </w:p>
    <w:p>
      <w:pPr>
        <w:spacing w:line="360" w:lineRule="auto"/>
        <w:ind w:firstLine="411" w:firstLineChars="196"/>
        <w:jc w:val="center"/>
        <w:rPr>
          <w:rFonts w:ascii="宋体" w:hAnsi="宋体" w:cs="宋体"/>
          <w:color w:val="000000"/>
          <w:szCs w:val="21"/>
          <w:highlight w:val="none"/>
        </w:rPr>
      </w:pPr>
    </w:p>
    <w:p>
      <w:pPr>
        <w:spacing w:line="360" w:lineRule="auto"/>
        <w:ind w:firstLine="411" w:firstLineChars="196"/>
        <w:jc w:val="center"/>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pStyle w:val="24"/>
      </w:pPr>
    </w:p>
    <w:p>
      <w:pPr>
        <w:spacing w:line="360" w:lineRule="auto"/>
        <w:ind w:firstLine="411" w:firstLineChars="196"/>
        <w:jc w:val="center"/>
        <w:rPr>
          <w:rFonts w:ascii="宋体" w:hAnsi="宋体" w:cs="宋体"/>
          <w:color w:val="000000"/>
          <w:szCs w:val="21"/>
          <w:highlight w:val="none"/>
        </w:rPr>
      </w:pPr>
    </w:p>
    <w:p>
      <w:pPr>
        <w:spacing w:line="360" w:lineRule="auto"/>
        <w:jc w:val="left"/>
        <w:rPr>
          <w:rFonts w:ascii="宋体" w:hAnsi="宋体" w:cs="宋体"/>
          <w:b/>
          <w:color w:val="000000"/>
          <w:sz w:val="24"/>
          <w:highlight w:val="none"/>
        </w:rPr>
      </w:pPr>
      <w:r>
        <w:rPr>
          <w:rFonts w:hint="eastAsia" w:ascii="宋体" w:hAnsi="宋体" w:cs="宋体"/>
          <w:b/>
          <w:color w:val="000000"/>
          <w:sz w:val="24"/>
          <w:highlight w:val="none"/>
        </w:rPr>
        <w:t>附 件：</w:t>
      </w:r>
    </w:p>
    <w:p>
      <w:pPr>
        <w:spacing w:line="360" w:lineRule="auto"/>
        <w:ind w:firstLine="413" w:firstLineChars="196"/>
        <w:jc w:val="center"/>
        <w:rPr>
          <w:rFonts w:ascii="宋体" w:hAnsi="宋体" w:cs="宋体"/>
          <w:b/>
          <w:bCs/>
          <w:color w:val="000000"/>
          <w:szCs w:val="21"/>
          <w:highlight w:val="none"/>
        </w:rPr>
      </w:pPr>
      <w:r>
        <w:rPr>
          <w:rFonts w:hint="eastAsia" w:ascii="宋体" w:hAnsi="宋体" w:cs="宋体"/>
          <w:b/>
          <w:bCs/>
          <w:color w:val="000000"/>
          <w:szCs w:val="21"/>
          <w:highlight w:val="none"/>
        </w:rPr>
        <w:t>法定代表人身份证明书</w:t>
      </w:r>
    </w:p>
    <w:p>
      <w:pPr>
        <w:wordWrap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谈判响应人名称：</w:t>
      </w:r>
      <w:r>
        <w:rPr>
          <w:rFonts w:hint="eastAsia" w:ascii="宋体" w:hAnsi="宋体" w:cs="宋体"/>
          <w:color w:val="000000"/>
          <w:szCs w:val="21"/>
          <w:highlight w:val="none"/>
          <w:u w:val="single"/>
        </w:rPr>
        <w:t xml:space="preserve">                              </w:t>
      </w:r>
    </w:p>
    <w:p>
      <w:pPr>
        <w:wordWrap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单位性质：</w:t>
      </w:r>
      <w:r>
        <w:rPr>
          <w:rFonts w:hint="eastAsia" w:ascii="宋体" w:hAnsi="宋体" w:cs="宋体"/>
          <w:color w:val="000000"/>
          <w:szCs w:val="21"/>
          <w:highlight w:val="none"/>
          <w:u w:val="single"/>
        </w:rPr>
        <w:t xml:space="preserve">                                </w:t>
      </w:r>
    </w:p>
    <w:p>
      <w:pPr>
        <w:wordWrap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地址：</w:t>
      </w:r>
      <w:r>
        <w:rPr>
          <w:rFonts w:hint="eastAsia" w:ascii="宋体" w:hAnsi="宋体" w:cs="宋体"/>
          <w:color w:val="000000"/>
          <w:szCs w:val="21"/>
          <w:highlight w:val="none"/>
          <w:u w:val="single"/>
        </w:rPr>
        <w:t xml:space="preserve">                                    </w:t>
      </w:r>
    </w:p>
    <w:p>
      <w:pPr>
        <w:wordWrap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成立时间：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pPr>
        <w:wordWrap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经营期限：</w:t>
      </w:r>
      <w:r>
        <w:rPr>
          <w:rFonts w:hint="eastAsia" w:ascii="宋体" w:hAnsi="宋体" w:cs="宋体"/>
          <w:color w:val="000000"/>
          <w:szCs w:val="21"/>
          <w:highlight w:val="none"/>
          <w:u w:val="single"/>
        </w:rPr>
        <w:t xml:space="preserve">          </w:t>
      </w:r>
    </w:p>
    <w:p>
      <w:pPr>
        <w:wordWrap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姓名：</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性别：</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年龄：</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职务：</w:t>
      </w:r>
      <w:r>
        <w:rPr>
          <w:rFonts w:hint="eastAsia" w:ascii="宋体" w:hAnsi="宋体" w:cs="宋体"/>
          <w:color w:val="000000"/>
          <w:szCs w:val="21"/>
          <w:highlight w:val="none"/>
          <w:u w:val="single"/>
        </w:rPr>
        <w:t xml:space="preserve">            </w:t>
      </w:r>
    </w:p>
    <w:p>
      <w:pPr>
        <w:wordWrap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系</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（谈判响应人名称）的法定代表人。</w:t>
      </w:r>
    </w:p>
    <w:p>
      <w:pPr>
        <w:wordWrap w:val="0"/>
        <w:adjustRightInd w:val="0"/>
        <w:snapToGrid w:val="0"/>
        <w:spacing w:line="360" w:lineRule="auto"/>
        <w:ind w:firstLine="411" w:firstLineChars="196"/>
        <w:rPr>
          <w:rFonts w:hAnsi="宋体"/>
          <w:szCs w:val="21"/>
          <w:highlight w:val="none"/>
        </w:rPr>
      </w:pPr>
      <w:r>
        <w:rPr>
          <w:rFonts w:hint="eastAsia" w:hAnsi="宋体"/>
          <w:szCs w:val="21"/>
          <w:highlight w:val="none"/>
        </w:rPr>
        <w:t>联系方式（移动电话）：</w:t>
      </w:r>
      <w:r>
        <w:rPr>
          <w:rFonts w:hint="eastAsia" w:hAnsi="宋体"/>
          <w:szCs w:val="21"/>
          <w:highlight w:val="none"/>
          <w:u w:val="single"/>
        </w:rPr>
        <w:t xml:space="preserve">           </w:t>
      </w:r>
      <w:r>
        <w:rPr>
          <w:rFonts w:hint="eastAsia" w:hAnsi="宋体"/>
          <w:szCs w:val="21"/>
          <w:highlight w:val="none"/>
        </w:rPr>
        <w:t>            </w:t>
      </w:r>
    </w:p>
    <w:p>
      <w:pPr>
        <w:wordWrap w:val="0"/>
        <w:adjustRightInd w:val="0"/>
        <w:snapToGrid w:val="0"/>
        <w:spacing w:line="360" w:lineRule="auto"/>
        <w:ind w:firstLine="420" w:firstLineChars="200"/>
        <w:rPr>
          <w:rFonts w:ascii="宋体" w:hAnsi="宋体" w:cs="宋体"/>
          <w:color w:val="000000"/>
          <w:szCs w:val="21"/>
          <w:highlight w:val="none"/>
        </w:rPr>
      </w:pPr>
      <w:r>
        <w:rPr>
          <w:rFonts w:hint="eastAsia" w:hAnsi="宋体"/>
          <w:szCs w:val="21"/>
          <w:highlight w:val="none"/>
        </w:rPr>
        <w:t>电子邮箱：</w:t>
      </w:r>
      <w:r>
        <w:rPr>
          <w:rFonts w:hint="eastAsia" w:hAnsi="宋体"/>
          <w:szCs w:val="21"/>
          <w:highlight w:val="none"/>
          <w:u w:val="single"/>
        </w:rPr>
        <w:t xml:space="preserve">             </w:t>
      </w:r>
      <w:r>
        <w:rPr>
          <w:rFonts w:hint="eastAsia" w:hAnsi="宋体"/>
          <w:szCs w:val="21"/>
          <w:highlight w:val="none"/>
        </w:rPr>
        <w:t> </w:t>
      </w:r>
    </w:p>
    <w:p>
      <w:pPr>
        <w:wordWrap w:val="0"/>
        <w:adjustRightInd w:val="0"/>
        <w:snapToGrid w:val="0"/>
        <w:spacing w:line="360" w:lineRule="auto"/>
        <w:ind w:firstLine="411" w:firstLineChars="196"/>
        <w:rPr>
          <w:rFonts w:ascii="宋体" w:hAnsi="宋体" w:cs="宋体"/>
          <w:color w:val="000000"/>
          <w:szCs w:val="21"/>
          <w:highlight w:val="none"/>
        </w:rPr>
      </w:pPr>
      <w:r>
        <w:rPr>
          <w:rFonts w:hint="eastAsia" w:ascii="宋体" w:hAnsi="宋体" w:cs="宋体"/>
          <w:color w:val="000000"/>
          <w:szCs w:val="21"/>
          <w:highlight w:val="none"/>
        </w:rPr>
        <w:t>特此证明。</w:t>
      </w:r>
    </w:p>
    <w:p>
      <w:pPr>
        <w:wordWrap w:val="0"/>
        <w:adjustRightInd w:val="0"/>
        <w:snapToGrid w:val="0"/>
        <w:spacing w:line="360" w:lineRule="auto"/>
        <w:ind w:firstLine="4137" w:firstLineChars="1970"/>
        <w:rPr>
          <w:rFonts w:ascii="宋体" w:hAnsi="宋体" w:cs="宋体"/>
          <w:color w:val="000000"/>
          <w:szCs w:val="21"/>
          <w:highlight w:val="none"/>
        </w:rPr>
      </w:pPr>
      <w:r>
        <w:rPr>
          <w:rFonts w:hint="eastAsia" w:ascii="宋体" w:hAnsi="宋体" w:cs="宋体"/>
          <w:color w:val="000000"/>
          <w:szCs w:val="21"/>
          <w:highlight w:val="none"/>
        </w:rPr>
        <w:t>谈判响应人：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（盖章）</w:t>
      </w:r>
    </w:p>
    <w:p>
      <w:pPr>
        <w:wordWrap w:val="0"/>
        <w:adjustRightInd w:val="0"/>
        <w:snapToGrid w:val="0"/>
        <w:spacing w:line="360" w:lineRule="auto"/>
        <w:ind w:right="360" w:firstLine="4851" w:firstLineChars="2310"/>
        <w:jc w:val="right"/>
        <w:rPr>
          <w:rFonts w:ascii="宋体" w:hAnsi="宋体" w:cs="宋体"/>
          <w:color w:val="000000"/>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pPr>
        <w:wordWrap w:val="0"/>
        <w:spacing w:line="360" w:lineRule="auto"/>
        <w:jc w:val="center"/>
        <w:rPr>
          <w:rFonts w:ascii="宋体" w:hAnsi="宋体" w:cs="宋体"/>
          <w:color w:val="000000"/>
          <w:szCs w:val="21"/>
          <w:highlight w:val="none"/>
        </w:rPr>
      </w:pPr>
    </w:p>
    <w:p>
      <w:pPr>
        <w:wordWrap w:val="0"/>
        <w:spacing w:line="360" w:lineRule="auto"/>
        <w:jc w:val="center"/>
        <w:rPr>
          <w:rFonts w:ascii="宋体" w:hAnsi="宋体" w:cs="宋体"/>
          <w:b/>
          <w:bCs/>
          <w:color w:val="000000"/>
          <w:szCs w:val="21"/>
          <w:highlight w:val="none"/>
        </w:rPr>
      </w:pPr>
      <w:r>
        <w:rPr>
          <w:rFonts w:hint="eastAsia" w:ascii="宋体" w:hAnsi="宋体" w:cs="宋体"/>
          <w:b/>
          <w:bCs/>
          <w:color w:val="000000"/>
          <w:szCs w:val="21"/>
          <w:highlight w:val="none"/>
        </w:rPr>
        <w:t>法定代表人授权委托书</w:t>
      </w:r>
    </w:p>
    <w:p>
      <w:pPr>
        <w:wordWrap w:val="0"/>
        <w:spacing w:line="36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本人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（姓名）系</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（谈判响应人名称）的法定代表人，现委托</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（姓名）为我方委托代理人。委托代理人根据授权，以我方名义处理</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（项目名称）的谈判响应一切事宜，其法律后果由我方承担。</w:t>
      </w:r>
    </w:p>
    <w:p>
      <w:pPr>
        <w:wordWrap w:val="0"/>
        <w:spacing w:line="36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委托期限：</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wordWrap w:val="0"/>
        <w:spacing w:line="36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委托代理人无转委托权，特此委托。</w:t>
      </w:r>
    </w:p>
    <w:p>
      <w:pPr>
        <w:wordWrap w:val="0"/>
        <w:spacing w:line="360" w:lineRule="auto"/>
        <w:ind w:firstLine="630" w:firstLineChars="300"/>
        <w:rPr>
          <w:rFonts w:ascii="宋体" w:hAnsi="宋体" w:cs="宋体"/>
          <w:color w:val="000000"/>
          <w:szCs w:val="21"/>
          <w:highlight w:val="none"/>
          <w:u w:val="single"/>
        </w:rPr>
      </w:pPr>
      <w:r>
        <w:rPr>
          <w:rFonts w:hint="eastAsia" w:ascii="宋体" w:hAnsi="宋体" w:cs="宋体"/>
          <w:color w:val="000000"/>
          <w:szCs w:val="21"/>
          <w:highlight w:val="none"/>
        </w:rPr>
        <w:t>委托代理人：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性别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年龄：_______</w:t>
      </w:r>
    </w:p>
    <w:p>
      <w:pPr>
        <w:wordWrap w:val="0"/>
        <w:spacing w:line="360" w:lineRule="auto"/>
        <w:ind w:firstLine="630" w:firstLineChars="300"/>
        <w:rPr>
          <w:rFonts w:ascii="宋体" w:hAnsi="宋体" w:cs="宋体"/>
          <w:color w:val="000000"/>
          <w:szCs w:val="21"/>
          <w:highlight w:val="none"/>
          <w:u w:val="single"/>
        </w:rPr>
      </w:pPr>
      <w:r>
        <w:rPr>
          <w:rFonts w:hint="eastAsia" w:ascii="宋体" w:hAnsi="宋体" w:cs="宋体"/>
          <w:color w:val="000000"/>
          <w:szCs w:val="21"/>
          <w:highlight w:val="none"/>
        </w:rPr>
        <w:t>身份证号码：</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职务：</w:t>
      </w:r>
      <w:r>
        <w:rPr>
          <w:rFonts w:hint="eastAsia" w:ascii="宋体" w:hAnsi="宋体" w:cs="宋体"/>
          <w:color w:val="000000"/>
          <w:szCs w:val="21"/>
          <w:highlight w:val="none"/>
          <w:u w:val="single"/>
        </w:rPr>
        <w:t xml:space="preserve">               </w:t>
      </w:r>
    </w:p>
    <w:p>
      <w:pPr>
        <w:wordWrap w:val="0"/>
        <w:spacing w:line="360" w:lineRule="auto"/>
        <w:ind w:firstLine="630" w:firstLineChars="300"/>
        <w:rPr>
          <w:rFonts w:hAnsi="宋体"/>
          <w:szCs w:val="21"/>
          <w:highlight w:val="none"/>
        </w:rPr>
      </w:pPr>
      <w:r>
        <w:rPr>
          <w:rFonts w:hint="eastAsia" w:hAnsi="宋体"/>
          <w:szCs w:val="21"/>
          <w:highlight w:val="none"/>
        </w:rPr>
        <w:t>联系方式（移动电话）：</w:t>
      </w:r>
      <w:r>
        <w:rPr>
          <w:rFonts w:hint="eastAsia" w:hAnsi="宋体"/>
          <w:szCs w:val="21"/>
          <w:highlight w:val="none"/>
          <w:u w:val="single"/>
        </w:rPr>
        <w:t xml:space="preserve">           </w:t>
      </w:r>
      <w:r>
        <w:rPr>
          <w:rFonts w:hint="eastAsia" w:hAnsi="宋体"/>
          <w:szCs w:val="21"/>
          <w:highlight w:val="none"/>
        </w:rPr>
        <w:t>            </w:t>
      </w:r>
    </w:p>
    <w:p>
      <w:pPr>
        <w:wordWrap w:val="0"/>
        <w:spacing w:line="360" w:lineRule="auto"/>
        <w:ind w:firstLine="630" w:firstLineChars="300"/>
        <w:rPr>
          <w:rFonts w:ascii="宋体" w:hAnsi="宋体" w:cs="宋体"/>
          <w:color w:val="000000"/>
          <w:szCs w:val="21"/>
          <w:highlight w:val="none"/>
        </w:rPr>
      </w:pPr>
      <w:r>
        <w:rPr>
          <w:rFonts w:hint="eastAsia" w:hAnsi="宋体"/>
          <w:szCs w:val="21"/>
          <w:highlight w:val="none"/>
        </w:rPr>
        <w:t>电子邮箱：</w:t>
      </w:r>
      <w:r>
        <w:rPr>
          <w:rFonts w:hint="eastAsia" w:hAnsi="宋体"/>
          <w:szCs w:val="21"/>
          <w:highlight w:val="none"/>
          <w:u w:val="single"/>
        </w:rPr>
        <w:t xml:space="preserve">             </w:t>
      </w:r>
      <w:r>
        <w:rPr>
          <w:rFonts w:hint="eastAsia" w:hAnsi="宋体"/>
          <w:szCs w:val="21"/>
          <w:highlight w:val="none"/>
        </w:rPr>
        <w:t> </w:t>
      </w:r>
    </w:p>
    <w:p>
      <w:pPr>
        <w:wordWrap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谈判响应人：</w:t>
      </w:r>
      <w:r>
        <w:rPr>
          <w:rFonts w:hint="eastAsia" w:ascii="宋体" w:hAnsi="宋体" w:cs="宋体"/>
          <w:color w:val="000000"/>
          <w:szCs w:val="21"/>
          <w:highlight w:val="none"/>
          <w:u w:val="single"/>
        </w:rPr>
        <w:t xml:space="preserve">                                          （盖章）</w:t>
      </w:r>
    </w:p>
    <w:p>
      <w:pPr>
        <w:wordWrap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法定代表人：</w:t>
      </w:r>
      <w:r>
        <w:rPr>
          <w:rFonts w:hint="eastAsia" w:ascii="宋体" w:hAnsi="宋体" w:cs="宋体"/>
          <w:color w:val="000000"/>
          <w:szCs w:val="21"/>
          <w:highlight w:val="none"/>
          <w:u w:val="single"/>
        </w:rPr>
        <w:t xml:space="preserve">                                      （盖章）</w:t>
      </w:r>
    </w:p>
    <w:p>
      <w:pPr>
        <w:wordWrap w:val="0"/>
        <w:spacing w:line="360" w:lineRule="auto"/>
        <w:ind w:right="480" w:firstLine="420" w:firstLineChars="200"/>
        <w:rPr>
          <w:rFonts w:ascii="宋体" w:hAnsi="宋体" w:cs="宋体"/>
          <w:color w:val="000000"/>
          <w:szCs w:val="21"/>
          <w:highlight w:val="none"/>
        </w:rPr>
      </w:pPr>
      <w:r>
        <w:rPr>
          <w:rFonts w:hint="eastAsia" w:ascii="宋体" w:hAnsi="宋体" w:cs="宋体"/>
          <w:color w:val="000000"/>
          <w:szCs w:val="21"/>
          <w:highlight w:val="none"/>
        </w:rPr>
        <w:t>授权委托日期：</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年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pPr>
        <w:wordWrap w:val="0"/>
        <w:spacing w:line="360" w:lineRule="auto"/>
        <w:ind w:right="480" w:firstLine="420" w:firstLineChars="200"/>
        <w:rPr>
          <w:rFonts w:ascii="宋体" w:hAnsi="宋体" w:cs="宋体"/>
          <w:color w:val="000000"/>
          <w:szCs w:val="21"/>
          <w:highlight w:val="none"/>
        </w:rPr>
      </w:pPr>
    </w:p>
    <w:p>
      <w:pPr>
        <w:pStyle w:val="24"/>
        <w:rPr>
          <w:rFonts w:ascii="宋体" w:hAnsi="宋体" w:cs="宋体"/>
          <w:color w:val="000000"/>
          <w:szCs w:val="21"/>
          <w:highlight w:val="none"/>
        </w:rPr>
      </w:pPr>
    </w:p>
    <w:p>
      <w:pPr>
        <w:rPr>
          <w:rFonts w:ascii="宋体" w:hAnsi="宋体" w:cs="宋体"/>
          <w:color w:val="000000"/>
          <w:szCs w:val="21"/>
          <w:highlight w:val="none"/>
        </w:rPr>
      </w:pPr>
    </w:p>
    <w:p>
      <w:pPr>
        <w:wordWrap w:val="0"/>
        <w:spacing w:line="360" w:lineRule="auto"/>
        <w:ind w:right="480"/>
        <w:rPr>
          <w:rFonts w:ascii="宋体" w:hAnsi="宋体" w:cs="宋体"/>
          <w:color w:val="000000"/>
          <w:szCs w:val="21"/>
          <w:highlight w:val="none"/>
        </w:rPr>
      </w:pPr>
    </w:p>
    <w:sectPr>
      <w:headerReference r:id="rId4" w:type="default"/>
      <w:footerReference r:id="rId5" w:type="default"/>
      <w:pgSz w:w="11906" w:h="16838"/>
      <w:pgMar w:top="1417" w:right="1418" w:bottom="1417"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center"/>
    </w:pPr>
    <w:r>
      <w:rPr>
        <w:sz w:val="18"/>
      </w:rPr>
      <w:pict>
        <v:shape id="_x0000_s2054" o:spid="_x0000_s205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0"/>
      <w:rPr>
        <w:rFonts w:hint="default" w:eastAsia="宋体"/>
        <w:szCs w:val="21"/>
        <w:lang w:val="en-US" w:eastAsia="zh-CN"/>
      </w:rPr>
    </w:pPr>
    <w:r>
      <w:rPr>
        <w:rFonts w:hint="eastAsia"/>
        <w:szCs w:val="21"/>
      </w:rPr>
      <w:t xml:space="preserve">                   智慧文旅综合管理平台之安庆智慧博物馆系统建设信息化项目</w:t>
    </w:r>
    <w:r>
      <w:rPr>
        <w:rFonts w:hint="eastAsia"/>
        <w:szCs w:val="21"/>
        <w:lang w:eastAsia="zh-CN"/>
      </w:rPr>
      <w:t>建设方案</w:t>
    </w:r>
    <w:r>
      <w:rPr>
        <w:rFonts w:hint="eastAsia"/>
        <w:szCs w:val="21"/>
      </w:rPr>
      <w:t>编制</w:t>
    </w:r>
    <w:r>
      <w:rPr>
        <w:rFonts w:hint="eastAsia"/>
        <w:szCs w:val="21"/>
        <w:lang w:val="en-US" w:eastAsia="zh-CN"/>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BBED0"/>
    <w:multiLevelType w:val="singleLevel"/>
    <w:tmpl w:val="55DBBED0"/>
    <w:lvl w:ilvl="0" w:tentative="0">
      <w:start w:val="1"/>
      <w:numFmt w:val="chineseCounting"/>
      <w:suff w:val="nothing"/>
      <w:lvlText w:val="%1、"/>
      <w:lvlJc w:val="left"/>
    </w:lvl>
  </w:abstractNum>
  <w:abstractNum w:abstractNumId="1">
    <w:nsid w:val="58DE129E"/>
    <w:multiLevelType w:val="singleLevel"/>
    <w:tmpl w:val="58DE129E"/>
    <w:lvl w:ilvl="0" w:tentative="0">
      <w:start w:val="4"/>
      <w:numFmt w:val="chineseCounting"/>
      <w:suff w:val="nothing"/>
      <w:lvlText w:val="%1、"/>
      <w:lvlJc w:val="left"/>
    </w:lvl>
  </w:abstractNum>
  <w:abstractNum w:abstractNumId="2">
    <w:nsid w:val="590BEEFE"/>
    <w:multiLevelType w:val="singleLevel"/>
    <w:tmpl w:val="590BEEFE"/>
    <w:lvl w:ilvl="0" w:tentative="0">
      <w:start w:val="1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NjYTU5N2ViNGI3MWY5NmY0M2JhMDE1YmYzMzBjNmMifQ=="/>
  </w:docVars>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603D"/>
    <w:rsid w:val="0002701D"/>
    <w:rsid w:val="0003013D"/>
    <w:rsid w:val="00031964"/>
    <w:rsid w:val="000319DA"/>
    <w:rsid w:val="000319EE"/>
    <w:rsid w:val="000333D6"/>
    <w:rsid w:val="000337C8"/>
    <w:rsid w:val="00034AAF"/>
    <w:rsid w:val="00035299"/>
    <w:rsid w:val="000358D5"/>
    <w:rsid w:val="00035F36"/>
    <w:rsid w:val="00037E7C"/>
    <w:rsid w:val="0004043A"/>
    <w:rsid w:val="0004104A"/>
    <w:rsid w:val="000417F5"/>
    <w:rsid w:val="000417F8"/>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70CBB"/>
    <w:rsid w:val="000727F7"/>
    <w:rsid w:val="00073DC2"/>
    <w:rsid w:val="00073DFA"/>
    <w:rsid w:val="0007443D"/>
    <w:rsid w:val="00074E8A"/>
    <w:rsid w:val="00076BB9"/>
    <w:rsid w:val="000776CC"/>
    <w:rsid w:val="0008079C"/>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61D5"/>
    <w:rsid w:val="0009665A"/>
    <w:rsid w:val="000968A3"/>
    <w:rsid w:val="00096958"/>
    <w:rsid w:val="00097945"/>
    <w:rsid w:val="00097DCE"/>
    <w:rsid w:val="000A0289"/>
    <w:rsid w:val="000A03DA"/>
    <w:rsid w:val="000A0E57"/>
    <w:rsid w:val="000A0F30"/>
    <w:rsid w:val="000A3717"/>
    <w:rsid w:val="000A3A67"/>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479"/>
    <w:rsid w:val="000C1E8C"/>
    <w:rsid w:val="000C383F"/>
    <w:rsid w:val="000C4010"/>
    <w:rsid w:val="000C4BBE"/>
    <w:rsid w:val="000C6EB4"/>
    <w:rsid w:val="000C7057"/>
    <w:rsid w:val="000C75DF"/>
    <w:rsid w:val="000D1369"/>
    <w:rsid w:val="000D291C"/>
    <w:rsid w:val="000D3B07"/>
    <w:rsid w:val="000D4A10"/>
    <w:rsid w:val="000D51D6"/>
    <w:rsid w:val="000D7CAD"/>
    <w:rsid w:val="000E04AF"/>
    <w:rsid w:val="000E0905"/>
    <w:rsid w:val="000E139D"/>
    <w:rsid w:val="000E1BDD"/>
    <w:rsid w:val="000E346C"/>
    <w:rsid w:val="000E4988"/>
    <w:rsid w:val="000E4CC2"/>
    <w:rsid w:val="000E517E"/>
    <w:rsid w:val="000E657B"/>
    <w:rsid w:val="000E7179"/>
    <w:rsid w:val="000E7913"/>
    <w:rsid w:val="000F1962"/>
    <w:rsid w:val="000F1ADF"/>
    <w:rsid w:val="000F280E"/>
    <w:rsid w:val="000F2E4F"/>
    <w:rsid w:val="000F38FE"/>
    <w:rsid w:val="000F4F6F"/>
    <w:rsid w:val="000F51A9"/>
    <w:rsid w:val="000F55B6"/>
    <w:rsid w:val="000F5E01"/>
    <w:rsid w:val="000F6EB4"/>
    <w:rsid w:val="000F72A8"/>
    <w:rsid w:val="0010403A"/>
    <w:rsid w:val="001073FE"/>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61C8"/>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4F26"/>
    <w:rsid w:val="00155B7A"/>
    <w:rsid w:val="0015661A"/>
    <w:rsid w:val="00160DD3"/>
    <w:rsid w:val="001650C9"/>
    <w:rsid w:val="001722C1"/>
    <w:rsid w:val="00172A27"/>
    <w:rsid w:val="00172FCE"/>
    <w:rsid w:val="0017392F"/>
    <w:rsid w:val="00174DB7"/>
    <w:rsid w:val="0017554C"/>
    <w:rsid w:val="00176D3D"/>
    <w:rsid w:val="00177B22"/>
    <w:rsid w:val="00180BE2"/>
    <w:rsid w:val="00181AD1"/>
    <w:rsid w:val="00182186"/>
    <w:rsid w:val="00182637"/>
    <w:rsid w:val="0018463C"/>
    <w:rsid w:val="00184E4B"/>
    <w:rsid w:val="00190AA9"/>
    <w:rsid w:val="00190B4B"/>
    <w:rsid w:val="00190C28"/>
    <w:rsid w:val="001922E2"/>
    <w:rsid w:val="00193311"/>
    <w:rsid w:val="00194AA6"/>
    <w:rsid w:val="00194AE3"/>
    <w:rsid w:val="001951BE"/>
    <w:rsid w:val="0019606E"/>
    <w:rsid w:val="00197C1C"/>
    <w:rsid w:val="001A093D"/>
    <w:rsid w:val="001A0AF4"/>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C0361"/>
    <w:rsid w:val="001C1352"/>
    <w:rsid w:val="001C3C00"/>
    <w:rsid w:val="001C3C5D"/>
    <w:rsid w:val="001C583F"/>
    <w:rsid w:val="001C58D1"/>
    <w:rsid w:val="001D05C7"/>
    <w:rsid w:val="001D0B74"/>
    <w:rsid w:val="001D0E65"/>
    <w:rsid w:val="001D18E8"/>
    <w:rsid w:val="001D1A63"/>
    <w:rsid w:val="001D4553"/>
    <w:rsid w:val="001D4B3E"/>
    <w:rsid w:val="001D4FDA"/>
    <w:rsid w:val="001D65D5"/>
    <w:rsid w:val="001D673B"/>
    <w:rsid w:val="001D6E9C"/>
    <w:rsid w:val="001D7493"/>
    <w:rsid w:val="001E1B69"/>
    <w:rsid w:val="001E221F"/>
    <w:rsid w:val="001E2320"/>
    <w:rsid w:val="001E2757"/>
    <w:rsid w:val="001E3BB5"/>
    <w:rsid w:val="001E5D62"/>
    <w:rsid w:val="001E638F"/>
    <w:rsid w:val="001E6D51"/>
    <w:rsid w:val="001E783B"/>
    <w:rsid w:val="001E7C14"/>
    <w:rsid w:val="001E7E18"/>
    <w:rsid w:val="001E7E1E"/>
    <w:rsid w:val="001E7F8B"/>
    <w:rsid w:val="001F00EE"/>
    <w:rsid w:val="001F05E7"/>
    <w:rsid w:val="001F1CF5"/>
    <w:rsid w:val="001F1F69"/>
    <w:rsid w:val="001F2E32"/>
    <w:rsid w:val="001F3E53"/>
    <w:rsid w:val="001F59C8"/>
    <w:rsid w:val="001F5A3C"/>
    <w:rsid w:val="001F5D6A"/>
    <w:rsid w:val="00200675"/>
    <w:rsid w:val="00201B80"/>
    <w:rsid w:val="00201F27"/>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30199"/>
    <w:rsid w:val="00230744"/>
    <w:rsid w:val="00231320"/>
    <w:rsid w:val="00231B07"/>
    <w:rsid w:val="002326D3"/>
    <w:rsid w:val="00233012"/>
    <w:rsid w:val="002338F6"/>
    <w:rsid w:val="0023410B"/>
    <w:rsid w:val="002344C4"/>
    <w:rsid w:val="002345F1"/>
    <w:rsid w:val="00234D3C"/>
    <w:rsid w:val="00235BC7"/>
    <w:rsid w:val="00237380"/>
    <w:rsid w:val="00237F01"/>
    <w:rsid w:val="002408E0"/>
    <w:rsid w:val="002425BE"/>
    <w:rsid w:val="002440C0"/>
    <w:rsid w:val="00244DB8"/>
    <w:rsid w:val="002459A4"/>
    <w:rsid w:val="00247C71"/>
    <w:rsid w:val="00247CEA"/>
    <w:rsid w:val="0025135B"/>
    <w:rsid w:val="002539BB"/>
    <w:rsid w:val="00255576"/>
    <w:rsid w:val="00255C1E"/>
    <w:rsid w:val="0025625B"/>
    <w:rsid w:val="00256A21"/>
    <w:rsid w:val="00257A30"/>
    <w:rsid w:val="00260D0E"/>
    <w:rsid w:val="002613B1"/>
    <w:rsid w:val="00261E08"/>
    <w:rsid w:val="00265EB2"/>
    <w:rsid w:val="0026687E"/>
    <w:rsid w:val="00266DCC"/>
    <w:rsid w:val="00270AC3"/>
    <w:rsid w:val="00271174"/>
    <w:rsid w:val="00272358"/>
    <w:rsid w:val="0027263E"/>
    <w:rsid w:val="00272B6E"/>
    <w:rsid w:val="00275943"/>
    <w:rsid w:val="00276566"/>
    <w:rsid w:val="002766F3"/>
    <w:rsid w:val="00276D8D"/>
    <w:rsid w:val="00280759"/>
    <w:rsid w:val="00280852"/>
    <w:rsid w:val="00282F8A"/>
    <w:rsid w:val="00283554"/>
    <w:rsid w:val="002836DF"/>
    <w:rsid w:val="002845ED"/>
    <w:rsid w:val="00286683"/>
    <w:rsid w:val="00286742"/>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D0B16"/>
    <w:rsid w:val="002D1D09"/>
    <w:rsid w:val="002D2367"/>
    <w:rsid w:val="002D418A"/>
    <w:rsid w:val="002D514B"/>
    <w:rsid w:val="002D65D7"/>
    <w:rsid w:val="002D72D5"/>
    <w:rsid w:val="002E0B8B"/>
    <w:rsid w:val="002E1B58"/>
    <w:rsid w:val="002E25B3"/>
    <w:rsid w:val="002E27C0"/>
    <w:rsid w:val="002E2C59"/>
    <w:rsid w:val="002E3CB8"/>
    <w:rsid w:val="002E3F09"/>
    <w:rsid w:val="002E424C"/>
    <w:rsid w:val="002E52E5"/>
    <w:rsid w:val="002E634C"/>
    <w:rsid w:val="002E715D"/>
    <w:rsid w:val="002E7435"/>
    <w:rsid w:val="002F03A1"/>
    <w:rsid w:val="002F05C8"/>
    <w:rsid w:val="002F15CA"/>
    <w:rsid w:val="002F28F8"/>
    <w:rsid w:val="002F4ABE"/>
    <w:rsid w:val="002F59BB"/>
    <w:rsid w:val="002F6889"/>
    <w:rsid w:val="002F7E6A"/>
    <w:rsid w:val="0030099E"/>
    <w:rsid w:val="00300AA1"/>
    <w:rsid w:val="00302892"/>
    <w:rsid w:val="00302E5C"/>
    <w:rsid w:val="0030348E"/>
    <w:rsid w:val="00303845"/>
    <w:rsid w:val="00304FDC"/>
    <w:rsid w:val="003069C6"/>
    <w:rsid w:val="00307001"/>
    <w:rsid w:val="003073E6"/>
    <w:rsid w:val="003105F8"/>
    <w:rsid w:val="00312AAD"/>
    <w:rsid w:val="00312BA4"/>
    <w:rsid w:val="00312BC9"/>
    <w:rsid w:val="00313A96"/>
    <w:rsid w:val="00313D3E"/>
    <w:rsid w:val="00314160"/>
    <w:rsid w:val="003145C8"/>
    <w:rsid w:val="00315C72"/>
    <w:rsid w:val="00316951"/>
    <w:rsid w:val="00316F87"/>
    <w:rsid w:val="003175FC"/>
    <w:rsid w:val="003176F3"/>
    <w:rsid w:val="003178D4"/>
    <w:rsid w:val="00317E42"/>
    <w:rsid w:val="00320D6B"/>
    <w:rsid w:val="00321A54"/>
    <w:rsid w:val="00321F80"/>
    <w:rsid w:val="003229B4"/>
    <w:rsid w:val="00325642"/>
    <w:rsid w:val="00326011"/>
    <w:rsid w:val="003267C0"/>
    <w:rsid w:val="003270C1"/>
    <w:rsid w:val="0032723A"/>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0A98"/>
    <w:rsid w:val="00370F12"/>
    <w:rsid w:val="003716BD"/>
    <w:rsid w:val="0037200A"/>
    <w:rsid w:val="00373768"/>
    <w:rsid w:val="00373E20"/>
    <w:rsid w:val="0037408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886"/>
    <w:rsid w:val="003A2A7F"/>
    <w:rsid w:val="003A3ED5"/>
    <w:rsid w:val="003A3F01"/>
    <w:rsid w:val="003A5005"/>
    <w:rsid w:val="003A5C2F"/>
    <w:rsid w:val="003A6E78"/>
    <w:rsid w:val="003B099F"/>
    <w:rsid w:val="003B1083"/>
    <w:rsid w:val="003B1698"/>
    <w:rsid w:val="003B19DA"/>
    <w:rsid w:val="003B2A11"/>
    <w:rsid w:val="003B4548"/>
    <w:rsid w:val="003B47F2"/>
    <w:rsid w:val="003B561C"/>
    <w:rsid w:val="003B67A4"/>
    <w:rsid w:val="003C0512"/>
    <w:rsid w:val="003C0A80"/>
    <w:rsid w:val="003C0CC5"/>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BEF"/>
    <w:rsid w:val="003D3DB8"/>
    <w:rsid w:val="003D572F"/>
    <w:rsid w:val="003D6800"/>
    <w:rsid w:val="003D6CB6"/>
    <w:rsid w:val="003D6CCA"/>
    <w:rsid w:val="003D7269"/>
    <w:rsid w:val="003D758D"/>
    <w:rsid w:val="003D7A28"/>
    <w:rsid w:val="003D7DEF"/>
    <w:rsid w:val="003E0064"/>
    <w:rsid w:val="003E0718"/>
    <w:rsid w:val="003E2AA0"/>
    <w:rsid w:val="003E2FA7"/>
    <w:rsid w:val="003E3548"/>
    <w:rsid w:val="003E6179"/>
    <w:rsid w:val="003E62ED"/>
    <w:rsid w:val="003E71B7"/>
    <w:rsid w:val="003F006A"/>
    <w:rsid w:val="003F1A87"/>
    <w:rsid w:val="003F393F"/>
    <w:rsid w:val="003F3D8A"/>
    <w:rsid w:val="003F455E"/>
    <w:rsid w:val="003F5214"/>
    <w:rsid w:val="003F585F"/>
    <w:rsid w:val="003F7863"/>
    <w:rsid w:val="0040086F"/>
    <w:rsid w:val="00400CBB"/>
    <w:rsid w:val="00400DAB"/>
    <w:rsid w:val="00402A2D"/>
    <w:rsid w:val="00402E6A"/>
    <w:rsid w:val="00403EAD"/>
    <w:rsid w:val="00404D84"/>
    <w:rsid w:val="004059DF"/>
    <w:rsid w:val="00406708"/>
    <w:rsid w:val="00407A49"/>
    <w:rsid w:val="00407C07"/>
    <w:rsid w:val="00407E6B"/>
    <w:rsid w:val="00411907"/>
    <w:rsid w:val="00411D59"/>
    <w:rsid w:val="00412536"/>
    <w:rsid w:val="00412E67"/>
    <w:rsid w:val="00414D20"/>
    <w:rsid w:val="00414F6C"/>
    <w:rsid w:val="00415C9B"/>
    <w:rsid w:val="0041659E"/>
    <w:rsid w:val="00417819"/>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49BF"/>
    <w:rsid w:val="00455D85"/>
    <w:rsid w:val="004571E9"/>
    <w:rsid w:val="00457437"/>
    <w:rsid w:val="004612AE"/>
    <w:rsid w:val="00462405"/>
    <w:rsid w:val="00462666"/>
    <w:rsid w:val="00462838"/>
    <w:rsid w:val="00462B5A"/>
    <w:rsid w:val="00463218"/>
    <w:rsid w:val="004635A3"/>
    <w:rsid w:val="0046404A"/>
    <w:rsid w:val="00464AD4"/>
    <w:rsid w:val="00464BB2"/>
    <w:rsid w:val="004655A4"/>
    <w:rsid w:val="00466C75"/>
    <w:rsid w:val="00466D70"/>
    <w:rsid w:val="00466F5F"/>
    <w:rsid w:val="00470829"/>
    <w:rsid w:val="004717B9"/>
    <w:rsid w:val="00471DFC"/>
    <w:rsid w:val="004724A3"/>
    <w:rsid w:val="0047330F"/>
    <w:rsid w:val="00473846"/>
    <w:rsid w:val="00473B85"/>
    <w:rsid w:val="004754F6"/>
    <w:rsid w:val="00475F53"/>
    <w:rsid w:val="00476FA8"/>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29B4"/>
    <w:rsid w:val="00493072"/>
    <w:rsid w:val="004947C9"/>
    <w:rsid w:val="00494BB8"/>
    <w:rsid w:val="004960B4"/>
    <w:rsid w:val="00496636"/>
    <w:rsid w:val="00496712"/>
    <w:rsid w:val="004A0D07"/>
    <w:rsid w:val="004A17F3"/>
    <w:rsid w:val="004A2388"/>
    <w:rsid w:val="004A33A0"/>
    <w:rsid w:val="004A3CD1"/>
    <w:rsid w:val="004A4519"/>
    <w:rsid w:val="004A468C"/>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D109E"/>
    <w:rsid w:val="004D1740"/>
    <w:rsid w:val="004D2935"/>
    <w:rsid w:val="004D2E16"/>
    <w:rsid w:val="004D38F9"/>
    <w:rsid w:val="004D51D6"/>
    <w:rsid w:val="004D5B27"/>
    <w:rsid w:val="004D6D03"/>
    <w:rsid w:val="004E0D4F"/>
    <w:rsid w:val="004E177E"/>
    <w:rsid w:val="004E3F70"/>
    <w:rsid w:val="004E48A9"/>
    <w:rsid w:val="004E67F0"/>
    <w:rsid w:val="004E6A1C"/>
    <w:rsid w:val="004E740F"/>
    <w:rsid w:val="004E7707"/>
    <w:rsid w:val="004F0AF1"/>
    <w:rsid w:val="004F0AF5"/>
    <w:rsid w:val="004F1C57"/>
    <w:rsid w:val="004F21AA"/>
    <w:rsid w:val="004F321C"/>
    <w:rsid w:val="004F357E"/>
    <w:rsid w:val="004F391B"/>
    <w:rsid w:val="004F4C6B"/>
    <w:rsid w:val="004F555F"/>
    <w:rsid w:val="004F5D55"/>
    <w:rsid w:val="004F5D6D"/>
    <w:rsid w:val="004F617B"/>
    <w:rsid w:val="004F62A0"/>
    <w:rsid w:val="004F77FD"/>
    <w:rsid w:val="004F78AA"/>
    <w:rsid w:val="004F7971"/>
    <w:rsid w:val="005009BC"/>
    <w:rsid w:val="00500A4C"/>
    <w:rsid w:val="0050100C"/>
    <w:rsid w:val="005013D8"/>
    <w:rsid w:val="00501EEE"/>
    <w:rsid w:val="005023F9"/>
    <w:rsid w:val="00502B96"/>
    <w:rsid w:val="00502D82"/>
    <w:rsid w:val="00503EDB"/>
    <w:rsid w:val="00504102"/>
    <w:rsid w:val="0050460A"/>
    <w:rsid w:val="005047B4"/>
    <w:rsid w:val="0051089F"/>
    <w:rsid w:val="00510DE4"/>
    <w:rsid w:val="005126F9"/>
    <w:rsid w:val="00514108"/>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67747"/>
    <w:rsid w:val="005702CF"/>
    <w:rsid w:val="00570C4D"/>
    <w:rsid w:val="00570EB7"/>
    <w:rsid w:val="00571033"/>
    <w:rsid w:val="0057199E"/>
    <w:rsid w:val="00571CCA"/>
    <w:rsid w:val="00571E5B"/>
    <w:rsid w:val="00572FB2"/>
    <w:rsid w:val="00577E85"/>
    <w:rsid w:val="00580FCF"/>
    <w:rsid w:val="00581045"/>
    <w:rsid w:val="005811AC"/>
    <w:rsid w:val="00582B61"/>
    <w:rsid w:val="00582E91"/>
    <w:rsid w:val="00583EF3"/>
    <w:rsid w:val="00585029"/>
    <w:rsid w:val="00586013"/>
    <w:rsid w:val="00586451"/>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BAC"/>
    <w:rsid w:val="005A6940"/>
    <w:rsid w:val="005A6CB5"/>
    <w:rsid w:val="005A6FB7"/>
    <w:rsid w:val="005A7CD8"/>
    <w:rsid w:val="005B0DDA"/>
    <w:rsid w:val="005B1193"/>
    <w:rsid w:val="005B1F74"/>
    <w:rsid w:val="005B217C"/>
    <w:rsid w:val="005B3E17"/>
    <w:rsid w:val="005B5EAD"/>
    <w:rsid w:val="005B70E6"/>
    <w:rsid w:val="005C05F6"/>
    <w:rsid w:val="005C0847"/>
    <w:rsid w:val="005C0A40"/>
    <w:rsid w:val="005C0D8E"/>
    <w:rsid w:val="005C29F5"/>
    <w:rsid w:val="005C2C6E"/>
    <w:rsid w:val="005C2E40"/>
    <w:rsid w:val="005C320A"/>
    <w:rsid w:val="005C3220"/>
    <w:rsid w:val="005C3EFE"/>
    <w:rsid w:val="005C49F1"/>
    <w:rsid w:val="005C55F3"/>
    <w:rsid w:val="005C6465"/>
    <w:rsid w:val="005C7231"/>
    <w:rsid w:val="005D0C7C"/>
    <w:rsid w:val="005D4C42"/>
    <w:rsid w:val="005D4CBE"/>
    <w:rsid w:val="005D6DB7"/>
    <w:rsid w:val="005D7CDC"/>
    <w:rsid w:val="005E17E9"/>
    <w:rsid w:val="005E3CFF"/>
    <w:rsid w:val="005E3FF1"/>
    <w:rsid w:val="005E4AF7"/>
    <w:rsid w:val="005E4C4D"/>
    <w:rsid w:val="005E4D62"/>
    <w:rsid w:val="005E5351"/>
    <w:rsid w:val="005E6BE3"/>
    <w:rsid w:val="005E72FE"/>
    <w:rsid w:val="005E78F7"/>
    <w:rsid w:val="005E7A69"/>
    <w:rsid w:val="005E7EDD"/>
    <w:rsid w:val="005F19DA"/>
    <w:rsid w:val="005F1EE6"/>
    <w:rsid w:val="005F23AC"/>
    <w:rsid w:val="005F2782"/>
    <w:rsid w:val="005F2A35"/>
    <w:rsid w:val="005F3C04"/>
    <w:rsid w:val="005F4DBF"/>
    <w:rsid w:val="005F6E6B"/>
    <w:rsid w:val="005F73D4"/>
    <w:rsid w:val="00601110"/>
    <w:rsid w:val="0060129B"/>
    <w:rsid w:val="00601438"/>
    <w:rsid w:val="00602156"/>
    <w:rsid w:val="00602572"/>
    <w:rsid w:val="00602AE4"/>
    <w:rsid w:val="00602D48"/>
    <w:rsid w:val="006034C2"/>
    <w:rsid w:val="00603CE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274F2"/>
    <w:rsid w:val="00630419"/>
    <w:rsid w:val="006305FB"/>
    <w:rsid w:val="00630BFB"/>
    <w:rsid w:val="00630CDE"/>
    <w:rsid w:val="006323AB"/>
    <w:rsid w:val="00633114"/>
    <w:rsid w:val="00633645"/>
    <w:rsid w:val="00634FEC"/>
    <w:rsid w:val="00636352"/>
    <w:rsid w:val="00636A78"/>
    <w:rsid w:val="00636EF9"/>
    <w:rsid w:val="00637858"/>
    <w:rsid w:val="00641B1F"/>
    <w:rsid w:val="00641B23"/>
    <w:rsid w:val="00641CA8"/>
    <w:rsid w:val="0064228F"/>
    <w:rsid w:val="00642F00"/>
    <w:rsid w:val="006437A6"/>
    <w:rsid w:val="00643B92"/>
    <w:rsid w:val="00645398"/>
    <w:rsid w:val="00650A19"/>
    <w:rsid w:val="00650CEE"/>
    <w:rsid w:val="00651002"/>
    <w:rsid w:val="00651696"/>
    <w:rsid w:val="00651956"/>
    <w:rsid w:val="006541A1"/>
    <w:rsid w:val="0065461A"/>
    <w:rsid w:val="0065477B"/>
    <w:rsid w:val="006614AF"/>
    <w:rsid w:val="006617FB"/>
    <w:rsid w:val="006633DB"/>
    <w:rsid w:val="006634B3"/>
    <w:rsid w:val="00664042"/>
    <w:rsid w:val="00664628"/>
    <w:rsid w:val="006673F1"/>
    <w:rsid w:val="006714D4"/>
    <w:rsid w:val="0067172F"/>
    <w:rsid w:val="00671FD6"/>
    <w:rsid w:val="0067489E"/>
    <w:rsid w:val="006778B6"/>
    <w:rsid w:val="006816DC"/>
    <w:rsid w:val="00681A1C"/>
    <w:rsid w:val="00682527"/>
    <w:rsid w:val="00682D4F"/>
    <w:rsid w:val="0068346E"/>
    <w:rsid w:val="00685456"/>
    <w:rsid w:val="00686A8C"/>
    <w:rsid w:val="00687B99"/>
    <w:rsid w:val="006930C0"/>
    <w:rsid w:val="0069318A"/>
    <w:rsid w:val="00693A66"/>
    <w:rsid w:val="006950AF"/>
    <w:rsid w:val="00695131"/>
    <w:rsid w:val="00695298"/>
    <w:rsid w:val="006958FB"/>
    <w:rsid w:val="00696FCE"/>
    <w:rsid w:val="0069773A"/>
    <w:rsid w:val="006A09C6"/>
    <w:rsid w:val="006A0C38"/>
    <w:rsid w:val="006A1046"/>
    <w:rsid w:val="006A251F"/>
    <w:rsid w:val="006A2A53"/>
    <w:rsid w:val="006A31B0"/>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971"/>
    <w:rsid w:val="006B55D3"/>
    <w:rsid w:val="006B5A51"/>
    <w:rsid w:val="006B5ECA"/>
    <w:rsid w:val="006B5EE0"/>
    <w:rsid w:val="006B5F5F"/>
    <w:rsid w:val="006B6CC1"/>
    <w:rsid w:val="006B6F3B"/>
    <w:rsid w:val="006B7B1B"/>
    <w:rsid w:val="006C0AF0"/>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43"/>
    <w:rsid w:val="006D5BE5"/>
    <w:rsid w:val="006D6069"/>
    <w:rsid w:val="006E1CDE"/>
    <w:rsid w:val="006E392A"/>
    <w:rsid w:val="006E3C35"/>
    <w:rsid w:val="006E615D"/>
    <w:rsid w:val="006E6F15"/>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B92"/>
    <w:rsid w:val="00706002"/>
    <w:rsid w:val="00706A0B"/>
    <w:rsid w:val="00707778"/>
    <w:rsid w:val="007079E1"/>
    <w:rsid w:val="0071210F"/>
    <w:rsid w:val="00712A2E"/>
    <w:rsid w:val="00713338"/>
    <w:rsid w:val="007133A5"/>
    <w:rsid w:val="00714041"/>
    <w:rsid w:val="00715747"/>
    <w:rsid w:val="007167DA"/>
    <w:rsid w:val="00716B32"/>
    <w:rsid w:val="00717429"/>
    <w:rsid w:val="00717EE0"/>
    <w:rsid w:val="00720516"/>
    <w:rsid w:val="00722E6E"/>
    <w:rsid w:val="00723A1B"/>
    <w:rsid w:val="0072634A"/>
    <w:rsid w:val="00726847"/>
    <w:rsid w:val="00726BBF"/>
    <w:rsid w:val="00727B55"/>
    <w:rsid w:val="00727FC5"/>
    <w:rsid w:val="007315BC"/>
    <w:rsid w:val="007316E0"/>
    <w:rsid w:val="00732C48"/>
    <w:rsid w:val="00733D41"/>
    <w:rsid w:val="00736D07"/>
    <w:rsid w:val="00737737"/>
    <w:rsid w:val="007378C7"/>
    <w:rsid w:val="007400AD"/>
    <w:rsid w:val="007409EC"/>
    <w:rsid w:val="00740DA4"/>
    <w:rsid w:val="007437E6"/>
    <w:rsid w:val="00743861"/>
    <w:rsid w:val="00743BA2"/>
    <w:rsid w:val="00745278"/>
    <w:rsid w:val="007460E0"/>
    <w:rsid w:val="00747EBF"/>
    <w:rsid w:val="00751178"/>
    <w:rsid w:val="00751D40"/>
    <w:rsid w:val="00753B04"/>
    <w:rsid w:val="00754C10"/>
    <w:rsid w:val="00754FE2"/>
    <w:rsid w:val="00756161"/>
    <w:rsid w:val="0075685F"/>
    <w:rsid w:val="00756AFF"/>
    <w:rsid w:val="0075733E"/>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4797"/>
    <w:rsid w:val="00775755"/>
    <w:rsid w:val="007760C9"/>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5B1"/>
    <w:rsid w:val="007B4B2F"/>
    <w:rsid w:val="007B5797"/>
    <w:rsid w:val="007B5D98"/>
    <w:rsid w:val="007B6184"/>
    <w:rsid w:val="007B7441"/>
    <w:rsid w:val="007B7A3C"/>
    <w:rsid w:val="007C0351"/>
    <w:rsid w:val="007C0481"/>
    <w:rsid w:val="007C0DEE"/>
    <w:rsid w:val="007C11CC"/>
    <w:rsid w:val="007C18ED"/>
    <w:rsid w:val="007C1AF5"/>
    <w:rsid w:val="007C2DE7"/>
    <w:rsid w:val="007C34DB"/>
    <w:rsid w:val="007C4778"/>
    <w:rsid w:val="007C5256"/>
    <w:rsid w:val="007C7979"/>
    <w:rsid w:val="007C7B2B"/>
    <w:rsid w:val="007C7D2C"/>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5F26"/>
    <w:rsid w:val="007D687A"/>
    <w:rsid w:val="007E03DD"/>
    <w:rsid w:val="007E07AF"/>
    <w:rsid w:val="007E16C6"/>
    <w:rsid w:val="007E24DC"/>
    <w:rsid w:val="007E2D91"/>
    <w:rsid w:val="007E3510"/>
    <w:rsid w:val="007E43E9"/>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B5F"/>
    <w:rsid w:val="00803A19"/>
    <w:rsid w:val="00803B86"/>
    <w:rsid w:val="008050CA"/>
    <w:rsid w:val="00805492"/>
    <w:rsid w:val="00806600"/>
    <w:rsid w:val="00806A32"/>
    <w:rsid w:val="00810059"/>
    <w:rsid w:val="00814431"/>
    <w:rsid w:val="0081510C"/>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0F5B"/>
    <w:rsid w:val="008316CB"/>
    <w:rsid w:val="00834408"/>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94B"/>
    <w:rsid w:val="008659CD"/>
    <w:rsid w:val="0086627F"/>
    <w:rsid w:val="00866400"/>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3913"/>
    <w:rsid w:val="00895455"/>
    <w:rsid w:val="008A06AC"/>
    <w:rsid w:val="008A0F95"/>
    <w:rsid w:val="008A19D3"/>
    <w:rsid w:val="008A3F23"/>
    <w:rsid w:val="008A490B"/>
    <w:rsid w:val="008A7DE4"/>
    <w:rsid w:val="008B0F63"/>
    <w:rsid w:val="008B1E15"/>
    <w:rsid w:val="008B276E"/>
    <w:rsid w:val="008B3235"/>
    <w:rsid w:val="008B36EA"/>
    <w:rsid w:val="008B70DB"/>
    <w:rsid w:val="008C0760"/>
    <w:rsid w:val="008C1595"/>
    <w:rsid w:val="008C1F7E"/>
    <w:rsid w:val="008C313F"/>
    <w:rsid w:val="008C3B98"/>
    <w:rsid w:val="008C41B1"/>
    <w:rsid w:val="008C4CFC"/>
    <w:rsid w:val="008C5053"/>
    <w:rsid w:val="008C515F"/>
    <w:rsid w:val="008C56B1"/>
    <w:rsid w:val="008C5B1A"/>
    <w:rsid w:val="008C5F14"/>
    <w:rsid w:val="008C5F96"/>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0BE2"/>
    <w:rsid w:val="00922083"/>
    <w:rsid w:val="00922457"/>
    <w:rsid w:val="0092503F"/>
    <w:rsid w:val="00925855"/>
    <w:rsid w:val="00926A14"/>
    <w:rsid w:val="00926E95"/>
    <w:rsid w:val="009278B5"/>
    <w:rsid w:val="009308F4"/>
    <w:rsid w:val="00931E0E"/>
    <w:rsid w:val="00933881"/>
    <w:rsid w:val="00933EA0"/>
    <w:rsid w:val="009357C9"/>
    <w:rsid w:val="009370C2"/>
    <w:rsid w:val="009372FA"/>
    <w:rsid w:val="009413E6"/>
    <w:rsid w:val="00944A12"/>
    <w:rsid w:val="00945087"/>
    <w:rsid w:val="00945321"/>
    <w:rsid w:val="009456F0"/>
    <w:rsid w:val="00946D72"/>
    <w:rsid w:val="00950986"/>
    <w:rsid w:val="009530F9"/>
    <w:rsid w:val="00953241"/>
    <w:rsid w:val="0095349A"/>
    <w:rsid w:val="009545D0"/>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67E38"/>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E27"/>
    <w:rsid w:val="0098533F"/>
    <w:rsid w:val="0098549D"/>
    <w:rsid w:val="00985DAD"/>
    <w:rsid w:val="00990304"/>
    <w:rsid w:val="009913CE"/>
    <w:rsid w:val="00992125"/>
    <w:rsid w:val="0099217C"/>
    <w:rsid w:val="009923E6"/>
    <w:rsid w:val="00992C8D"/>
    <w:rsid w:val="00993972"/>
    <w:rsid w:val="00993DBC"/>
    <w:rsid w:val="00994797"/>
    <w:rsid w:val="00994AD4"/>
    <w:rsid w:val="00996432"/>
    <w:rsid w:val="009968AC"/>
    <w:rsid w:val="00997BC9"/>
    <w:rsid w:val="009A03B1"/>
    <w:rsid w:val="009A03E2"/>
    <w:rsid w:val="009A1D0B"/>
    <w:rsid w:val="009A2022"/>
    <w:rsid w:val="009A363A"/>
    <w:rsid w:val="009A3E50"/>
    <w:rsid w:val="009A5653"/>
    <w:rsid w:val="009A62D5"/>
    <w:rsid w:val="009A6D8F"/>
    <w:rsid w:val="009A724D"/>
    <w:rsid w:val="009B0503"/>
    <w:rsid w:val="009B235F"/>
    <w:rsid w:val="009B374A"/>
    <w:rsid w:val="009B5A0D"/>
    <w:rsid w:val="009B5CC3"/>
    <w:rsid w:val="009C321F"/>
    <w:rsid w:val="009C3C31"/>
    <w:rsid w:val="009C4510"/>
    <w:rsid w:val="009C5140"/>
    <w:rsid w:val="009C57DD"/>
    <w:rsid w:val="009C688A"/>
    <w:rsid w:val="009C6C18"/>
    <w:rsid w:val="009C76D0"/>
    <w:rsid w:val="009D069F"/>
    <w:rsid w:val="009D0F87"/>
    <w:rsid w:val="009D2EFB"/>
    <w:rsid w:val="009D33BC"/>
    <w:rsid w:val="009D4121"/>
    <w:rsid w:val="009D4C76"/>
    <w:rsid w:val="009D520C"/>
    <w:rsid w:val="009D6123"/>
    <w:rsid w:val="009D6ECC"/>
    <w:rsid w:val="009D720A"/>
    <w:rsid w:val="009D7BB7"/>
    <w:rsid w:val="009E1524"/>
    <w:rsid w:val="009E15EC"/>
    <w:rsid w:val="009E2017"/>
    <w:rsid w:val="009E20B6"/>
    <w:rsid w:val="009E2133"/>
    <w:rsid w:val="009E41DC"/>
    <w:rsid w:val="009E4A4E"/>
    <w:rsid w:val="009F161E"/>
    <w:rsid w:val="009F2CEE"/>
    <w:rsid w:val="009F303C"/>
    <w:rsid w:val="009F44B9"/>
    <w:rsid w:val="009F6C7D"/>
    <w:rsid w:val="009F6E60"/>
    <w:rsid w:val="00A02455"/>
    <w:rsid w:val="00A026DB"/>
    <w:rsid w:val="00A02DB2"/>
    <w:rsid w:val="00A04CC2"/>
    <w:rsid w:val="00A04E96"/>
    <w:rsid w:val="00A04FB2"/>
    <w:rsid w:val="00A07192"/>
    <w:rsid w:val="00A0764A"/>
    <w:rsid w:val="00A076EF"/>
    <w:rsid w:val="00A07704"/>
    <w:rsid w:val="00A1196C"/>
    <w:rsid w:val="00A12255"/>
    <w:rsid w:val="00A13350"/>
    <w:rsid w:val="00A13F9B"/>
    <w:rsid w:val="00A144BD"/>
    <w:rsid w:val="00A151E3"/>
    <w:rsid w:val="00A155EE"/>
    <w:rsid w:val="00A163A7"/>
    <w:rsid w:val="00A16853"/>
    <w:rsid w:val="00A16CFC"/>
    <w:rsid w:val="00A17075"/>
    <w:rsid w:val="00A17D9F"/>
    <w:rsid w:val="00A21EE6"/>
    <w:rsid w:val="00A222A2"/>
    <w:rsid w:val="00A23D63"/>
    <w:rsid w:val="00A240F4"/>
    <w:rsid w:val="00A2577A"/>
    <w:rsid w:val="00A26B44"/>
    <w:rsid w:val="00A26F4C"/>
    <w:rsid w:val="00A3095E"/>
    <w:rsid w:val="00A32865"/>
    <w:rsid w:val="00A33C62"/>
    <w:rsid w:val="00A362FF"/>
    <w:rsid w:val="00A363AA"/>
    <w:rsid w:val="00A366F0"/>
    <w:rsid w:val="00A36A4B"/>
    <w:rsid w:val="00A36E02"/>
    <w:rsid w:val="00A37148"/>
    <w:rsid w:val="00A372C0"/>
    <w:rsid w:val="00A374A3"/>
    <w:rsid w:val="00A4085C"/>
    <w:rsid w:val="00A423D0"/>
    <w:rsid w:val="00A43D1B"/>
    <w:rsid w:val="00A45963"/>
    <w:rsid w:val="00A51159"/>
    <w:rsid w:val="00A524DF"/>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5AF"/>
    <w:rsid w:val="00A81030"/>
    <w:rsid w:val="00A818D7"/>
    <w:rsid w:val="00A81BBC"/>
    <w:rsid w:val="00A83BF2"/>
    <w:rsid w:val="00A84CBE"/>
    <w:rsid w:val="00A854D4"/>
    <w:rsid w:val="00A85741"/>
    <w:rsid w:val="00A86F1B"/>
    <w:rsid w:val="00A87506"/>
    <w:rsid w:val="00A87D3F"/>
    <w:rsid w:val="00A91464"/>
    <w:rsid w:val="00A9249F"/>
    <w:rsid w:val="00A9263B"/>
    <w:rsid w:val="00A92D92"/>
    <w:rsid w:val="00A92EB5"/>
    <w:rsid w:val="00A931BC"/>
    <w:rsid w:val="00A94682"/>
    <w:rsid w:val="00A94988"/>
    <w:rsid w:val="00A95932"/>
    <w:rsid w:val="00AA121E"/>
    <w:rsid w:val="00AA1E9F"/>
    <w:rsid w:val="00AA28B1"/>
    <w:rsid w:val="00AA3CEC"/>
    <w:rsid w:val="00AA4361"/>
    <w:rsid w:val="00AA46CC"/>
    <w:rsid w:val="00AA4A4B"/>
    <w:rsid w:val="00AA5983"/>
    <w:rsid w:val="00AA5ED2"/>
    <w:rsid w:val="00AA6045"/>
    <w:rsid w:val="00AA698A"/>
    <w:rsid w:val="00AA7868"/>
    <w:rsid w:val="00AA7A83"/>
    <w:rsid w:val="00AB0265"/>
    <w:rsid w:val="00AB0F7D"/>
    <w:rsid w:val="00AB16FF"/>
    <w:rsid w:val="00AB24EB"/>
    <w:rsid w:val="00AB30C5"/>
    <w:rsid w:val="00AB4F18"/>
    <w:rsid w:val="00AB5469"/>
    <w:rsid w:val="00AB5CE2"/>
    <w:rsid w:val="00AB67A1"/>
    <w:rsid w:val="00AB6B22"/>
    <w:rsid w:val="00AB6E5A"/>
    <w:rsid w:val="00AC0188"/>
    <w:rsid w:val="00AC05D7"/>
    <w:rsid w:val="00AC22C8"/>
    <w:rsid w:val="00AC2FB6"/>
    <w:rsid w:val="00AC35CD"/>
    <w:rsid w:val="00AC3F23"/>
    <w:rsid w:val="00AD1CCE"/>
    <w:rsid w:val="00AD2C9A"/>
    <w:rsid w:val="00AD2ECF"/>
    <w:rsid w:val="00AD2FFD"/>
    <w:rsid w:val="00AD4396"/>
    <w:rsid w:val="00AD4FE5"/>
    <w:rsid w:val="00AD57BA"/>
    <w:rsid w:val="00AD7988"/>
    <w:rsid w:val="00AD7FE9"/>
    <w:rsid w:val="00AE217E"/>
    <w:rsid w:val="00AE3993"/>
    <w:rsid w:val="00AE5884"/>
    <w:rsid w:val="00AE7118"/>
    <w:rsid w:val="00AE770F"/>
    <w:rsid w:val="00AF0AF0"/>
    <w:rsid w:val="00AF4487"/>
    <w:rsid w:val="00AF46D2"/>
    <w:rsid w:val="00AF4BE9"/>
    <w:rsid w:val="00B022D4"/>
    <w:rsid w:val="00B038C2"/>
    <w:rsid w:val="00B05455"/>
    <w:rsid w:val="00B054B1"/>
    <w:rsid w:val="00B05692"/>
    <w:rsid w:val="00B0692A"/>
    <w:rsid w:val="00B107FF"/>
    <w:rsid w:val="00B1086A"/>
    <w:rsid w:val="00B10CE4"/>
    <w:rsid w:val="00B11579"/>
    <w:rsid w:val="00B12667"/>
    <w:rsid w:val="00B12954"/>
    <w:rsid w:val="00B13584"/>
    <w:rsid w:val="00B1422B"/>
    <w:rsid w:val="00B142DA"/>
    <w:rsid w:val="00B1578B"/>
    <w:rsid w:val="00B172D3"/>
    <w:rsid w:val="00B20DAF"/>
    <w:rsid w:val="00B21350"/>
    <w:rsid w:val="00B22B91"/>
    <w:rsid w:val="00B25673"/>
    <w:rsid w:val="00B25BD7"/>
    <w:rsid w:val="00B26894"/>
    <w:rsid w:val="00B26B2F"/>
    <w:rsid w:val="00B26C14"/>
    <w:rsid w:val="00B27087"/>
    <w:rsid w:val="00B27F94"/>
    <w:rsid w:val="00B30D5C"/>
    <w:rsid w:val="00B31FB3"/>
    <w:rsid w:val="00B33F43"/>
    <w:rsid w:val="00B34AA8"/>
    <w:rsid w:val="00B34DB3"/>
    <w:rsid w:val="00B3522C"/>
    <w:rsid w:val="00B36404"/>
    <w:rsid w:val="00B36A7A"/>
    <w:rsid w:val="00B37114"/>
    <w:rsid w:val="00B37F3A"/>
    <w:rsid w:val="00B42124"/>
    <w:rsid w:val="00B43F1C"/>
    <w:rsid w:val="00B44239"/>
    <w:rsid w:val="00B4523B"/>
    <w:rsid w:val="00B45297"/>
    <w:rsid w:val="00B454CD"/>
    <w:rsid w:val="00B45F73"/>
    <w:rsid w:val="00B46A49"/>
    <w:rsid w:val="00B46BAD"/>
    <w:rsid w:val="00B47355"/>
    <w:rsid w:val="00B47606"/>
    <w:rsid w:val="00B47A28"/>
    <w:rsid w:val="00B50366"/>
    <w:rsid w:val="00B512E9"/>
    <w:rsid w:val="00B514E4"/>
    <w:rsid w:val="00B51561"/>
    <w:rsid w:val="00B51A8E"/>
    <w:rsid w:val="00B51B0F"/>
    <w:rsid w:val="00B52962"/>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71944"/>
    <w:rsid w:val="00B73C40"/>
    <w:rsid w:val="00B7409B"/>
    <w:rsid w:val="00B74285"/>
    <w:rsid w:val="00B74637"/>
    <w:rsid w:val="00B74650"/>
    <w:rsid w:val="00B75ADA"/>
    <w:rsid w:val="00B75CD5"/>
    <w:rsid w:val="00B75F44"/>
    <w:rsid w:val="00B76B83"/>
    <w:rsid w:val="00B8018B"/>
    <w:rsid w:val="00B80D77"/>
    <w:rsid w:val="00B80F9D"/>
    <w:rsid w:val="00B84B5E"/>
    <w:rsid w:val="00B84F95"/>
    <w:rsid w:val="00B8502C"/>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1804"/>
    <w:rsid w:val="00BA27EA"/>
    <w:rsid w:val="00BA38E3"/>
    <w:rsid w:val="00BA4D8A"/>
    <w:rsid w:val="00BA6521"/>
    <w:rsid w:val="00BA6F0B"/>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1D98"/>
    <w:rsid w:val="00BE2547"/>
    <w:rsid w:val="00BE351E"/>
    <w:rsid w:val="00BE4657"/>
    <w:rsid w:val="00BE4732"/>
    <w:rsid w:val="00BE4A89"/>
    <w:rsid w:val="00BE5879"/>
    <w:rsid w:val="00BE6542"/>
    <w:rsid w:val="00BE6A7E"/>
    <w:rsid w:val="00BE7176"/>
    <w:rsid w:val="00BF06E3"/>
    <w:rsid w:val="00BF0CA2"/>
    <w:rsid w:val="00BF264A"/>
    <w:rsid w:val="00BF44E3"/>
    <w:rsid w:val="00C0056C"/>
    <w:rsid w:val="00C005BF"/>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21753"/>
    <w:rsid w:val="00C21BA3"/>
    <w:rsid w:val="00C2206D"/>
    <w:rsid w:val="00C22230"/>
    <w:rsid w:val="00C2224E"/>
    <w:rsid w:val="00C2310E"/>
    <w:rsid w:val="00C25455"/>
    <w:rsid w:val="00C2581C"/>
    <w:rsid w:val="00C2641B"/>
    <w:rsid w:val="00C265BF"/>
    <w:rsid w:val="00C341A5"/>
    <w:rsid w:val="00C361D7"/>
    <w:rsid w:val="00C36714"/>
    <w:rsid w:val="00C3761B"/>
    <w:rsid w:val="00C4123E"/>
    <w:rsid w:val="00C413BC"/>
    <w:rsid w:val="00C41536"/>
    <w:rsid w:val="00C42100"/>
    <w:rsid w:val="00C4245D"/>
    <w:rsid w:val="00C4413F"/>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0B99"/>
    <w:rsid w:val="00C91E01"/>
    <w:rsid w:val="00C91E77"/>
    <w:rsid w:val="00C92E96"/>
    <w:rsid w:val="00C93028"/>
    <w:rsid w:val="00C9375B"/>
    <w:rsid w:val="00C93A19"/>
    <w:rsid w:val="00C95C56"/>
    <w:rsid w:val="00CA0942"/>
    <w:rsid w:val="00CA1E64"/>
    <w:rsid w:val="00CA325A"/>
    <w:rsid w:val="00CA3453"/>
    <w:rsid w:val="00CA36B2"/>
    <w:rsid w:val="00CA430A"/>
    <w:rsid w:val="00CA4870"/>
    <w:rsid w:val="00CA4AB4"/>
    <w:rsid w:val="00CA4EA1"/>
    <w:rsid w:val="00CA6BE4"/>
    <w:rsid w:val="00CB06EF"/>
    <w:rsid w:val="00CB1B3B"/>
    <w:rsid w:val="00CB1C66"/>
    <w:rsid w:val="00CB2243"/>
    <w:rsid w:val="00CB28C9"/>
    <w:rsid w:val="00CB45AC"/>
    <w:rsid w:val="00CB4BC9"/>
    <w:rsid w:val="00CB4D21"/>
    <w:rsid w:val="00CB5311"/>
    <w:rsid w:val="00CB6BAD"/>
    <w:rsid w:val="00CB6E46"/>
    <w:rsid w:val="00CC1191"/>
    <w:rsid w:val="00CC1399"/>
    <w:rsid w:val="00CC1AFF"/>
    <w:rsid w:val="00CC2769"/>
    <w:rsid w:val="00CC40C2"/>
    <w:rsid w:val="00CC4547"/>
    <w:rsid w:val="00CC5850"/>
    <w:rsid w:val="00CC6EA0"/>
    <w:rsid w:val="00CC77E8"/>
    <w:rsid w:val="00CC7AA2"/>
    <w:rsid w:val="00CD0096"/>
    <w:rsid w:val="00CD192A"/>
    <w:rsid w:val="00CD1FC3"/>
    <w:rsid w:val="00CD2D48"/>
    <w:rsid w:val="00CD394C"/>
    <w:rsid w:val="00CD3E61"/>
    <w:rsid w:val="00CD4E79"/>
    <w:rsid w:val="00CE052A"/>
    <w:rsid w:val="00CE0B7A"/>
    <w:rsid w:val="00CE491D"/>
    <w:rsid w:val="00CE4AD7"/>
    <w:rsid w:val="00CE54FC"/>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EFF"/>
    <w:rsid w:val="00D1365C"/>
    <w:rsid w:val="00D13E8A"/>
    <w:rsid w:val="00D14F7D"/>
    <w:rsid w:val="00D17162"/>
    <w:rsid w:val="00D17535"/>
    <w:rsid w:val="00D17B30"/>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610F8"/>
    <w:rsid w:val="00D61319"/>
    <w:rsid w:val="00D6186B"/>
    <w:rsid w:val="00D62836"/>
    <w:rsid w:val="00D63214"/>
    <w:rsid w:val="00D6344E"/>
    <w:rsid w:val="00D64C88"/>
    <w:rsid w:val="00D67606"/>
    <w:rsid w:val="00D676F4"/>
    <w:rsid w:val="00D71EEB"/>
    <w:rsid w:val="00D733DF"/>
    <w:rsid w:val="00D73BCC"/>
    <w:rsid w:val="00D74F64"/>
    <w:rsid w:val="00D76D43"/>
    <w:rsid w:val="00D775E6"/>
    <w:rsid w:val="00D800DD"/>
    <w:rsid w:val="00D8109F"/>
    <w:rsid w:val="00D810B3"/>
    <w:rsid w:val="00D8119D"/>
    <w:rsid w:val="00D818F4"/>
    <w:rsid w:val="00D81A78"/>
    <w:rsid w:val="00D81B91"/>
    <w:rsid w:val="00D82D96"/>
    <w:rsid w:val="00D8531D"/>
    <w:rsid w:val="00D85595"/>
    <w:rsid w:val="00D86347"/>
    <w:rsid w:val="00D87EF5"/>
    <w:rsid w:val="00D905FB"/>
    <w:rsid w:val="00D90B97"/>
    <w:rsid w:val="00D91D6F"/>
    <w:rsid w:val="00D92BB1"/>
    <w:rsid w:val="00D93F02"/>
    <w:rsid w:val="00D94E84"/>
    <w:rsid w:val="00D955E6"/>
    <w:rsid w:val="00D9581A"/>
    <w:rsid w:val="00D96347"/>
    <w:rsid w:val="00D96B16"/>
    <w:rsid w:val="00D96DB6"/>
    <w:rsid w:val="00D972F7"/>
    <w:rsid w:val="00DA0FB9"/>
    <w:rsid w:val="00DA1AC1"/>
    <w:rsid w:val="00DA2205"/>
    <w:rsid w:val="00DA26A7"/>
    <w:rsid w:val="00DA2A11"/>
    <w:rsid w:val="00DA2E4C"/>
    <w:rsid w:val="00DA3290"/>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654B"/>
    <w:rsid w:val="00DB66FB"/>
    <w:rsid w:val="00DC023B"/>
    <w:rsid w:val="00DC03DF"/>
    <w:rsid w:val="00DC1ABD"/>
    <w:rsid w:val="00DC209A"/>
    <w:rsid w:val="00DC3108"/>
    <w:rsid w:val="00DC3331"/>
    <w:rsid w:val="00DC3BE3"/>
    <w:rsid w:val="00DC76B4"/>
    <w:rsid w:val="00DC7A3B"/>
    <w:rsid w:val="00DC7B62"/>
    <w:rsid w:val="00DC7EF4"/>
    <w:rsid w:val="00DD131B"/>
    <w:rsid w:val="00DD2032"/>
    <w:rsid w:val="00DD3628"/>
    <w:rsid w:val="00DD3726"/>
    <w:rsid w:val="00DD6001"/>
    <w:rsid w:val="00DD691D"/>
    <w:rsid w:val="00DD7502"/>
    <w:rsid w:val="00DE03D0"/>
    <w:rsid w:val="00DE13A3"/>
    <w:rsid w:val="00DE1E96"/>
    <w:rsid w:val="00DE22E8"/>
    <w:rsid w:val="00DE25BE"/>
    <w:rsid w:val="00DE2B2B"/>
    <w:rsid w:val="00DE5495"/>
    <w:rsid w:val="00DE5868"/>
    <w:rsid w:val="00DE5ABF"/>
    <w:rsid w:val="00DE7899"/>
    <w:rsid w:val="00DF1E2C"/>
    <w:rsid w:val="00DF1EF5"/>
    <w:rsid w:val="00DF3DCE"/>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187B"/>
    <w:rsid w:val="00E31A24"/>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84"/>
    <w:rsid w:val="00E413DF"/>
    <w:rsid w:val="00E45791"/>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3679"/>
    <w:rsid w:val="00E6445D"/>
    <w:rsid w:val="00E64FA3"/>
    <w:rsid w:val="00E651BE"/>
    <w:rsid w:val="00E65E14"/>
    <w:rsid w:val="00E65F8C"/>
    <w:rsid w:val="00E67F96"/>
    <w:rsid w:val="00E70017"/>
    <w:rsid w:val="00E70513"/>
    <w:rsid w:val="00E70922"/>
    <w:rsid w:val="00E70B42"/>
    <w:rsid w:val="00E70F47"/>
    <w:rsid w:val="00E71792"/>
    <w:rsid w:val="00E71D0C"/>
    <w:rsid w:val="00E7210A"/>
    <w:rsid w:val="00E7233C"/>
    <w:rsid w:val="00E72532"/>
    <w:rsid w:val="00E73D8A"/>
    <w:rsid w:val="00E74964"/>
    <w:rsid w:val="00E74FD7"/>
    <w:rsid w:val="00E75A99"/>
    <w:rsid w:val="00E76253"/>
    <w:rsid w:val="00E762DE"/>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87A29"/>
    <w:rsid w:val="00E90BA5"/>
    <w:rsid w:val="00E90E70"/>
    <w:rsid w:val="00E93829"/>
    <w:rsid w:val="00E93D81"/>
    <w:rsid w:val="00E93EF3"/>
    <w:rsid w:val="00E94106"/>
    <w:rsid w:val="00E95BE7"/>
    <w:rsid w:val="00E96D16"/>
    <w:rsid w:val="00E97B38"/>
    <w:rsid w:val="00E97BFC"/>
    <w:rsid w:val="00EA12B3"/>
    <w:rsid w:val="00EA2379"/>
    <w:rsid w:val="00EA2D63"/>
    <w:rsid w:val="00EA3280"/>
    <w:rsid w:val="00EA3A6B"/>
    <w:rsid w:val="00EA3E19"/>
    <w:rsid w:val="00EA4962"/>
    <w:rsid w:val="00EA5627"/>
    <w:rsid w:val="00EA599C"/>
    <w:rsid w:val="00EA61A7"/>
    <w:rsid w:val="00EA6426"/>
    <w:rsid w:val="00EA6659"/>
    <w:rsid w:val="00EA6B8D"/>
    <w:rsid w:val="00EA7364"/>
    <w:rsid w:val="00EA7897"/>
    <w:rsid w:val="00EB0A1D"/>
    <w:rsid w:val="00EB1587"/>
    <w:rsid w:val="00EB1DCD"/>
    <w:rsid w:val="00EB2862"/>
    <w:rsid w:val="00EB40F7"/>
    <w:rsid w:val="00EB4C07"/>
    <w:rsid w:val="00EB5548"/>
    <w:rsid w:val="00EB555A"/>
    <w:rsid w:val="00EB5EE5"/>
    <w:rsid w:val="00EB70CF"/>
    <w:rsid w:val="00EB7E2A"/>
    <w:rsid w:val="00EC043A"/>
    <w:rsid w:val="00EC0DC3"/>
    <w:rsid w:val="00EC0FC4"/>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51EE"/>
    <w:rsid w:val="00ED5794"/>
    <w:rsid w:val="00EE0051"/>
    <w:rsid w:val="00EE0440"/>
    <w:rsid w:val="00EE107D"/>
    <w:rsid w:val="00EE148E"/>
    <w:rsid w:val="00EE1B55"/>
    <w:rsid w:val="00EE1D12"/>
    <w:rsid w:val="00EE283E"/>
    <w:rsid w:val="00EE2A4D"/>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5D0F"/>
    <w:rsid w:val="00F05DDD"/>
    <w:rsid w:val="00F061A7"/>
    <w:rsid w:val="00F0668F"/>
    <w:rsid w:val="00F076B1"/>
    <w:rsid w:val="00F077EB"/>
    <w:rsid w:val="00F10638"/>
    <w:rsid w:val="00F10A18"/>
    <w:rsid w:val="00F1146F"/>
    <w:rsid w:val="00F12605"/>
    <w:rsid w:val="00F15231"/>
    <w:rsid w:val="00F16658"/>
    <w:rsid w:val="00F16F72"/>
    <w:rsid w:val="00F17B25"/>
    <w:rsid w:val="00F209B9"/>
    <w:rsid w:val="00F2172D"/>
    <w:rsid w:val="00F221AF"/>
    <w:rsid w:val="00F223FF"/>
    <w:rsid w:val="00F22585"/>
    <w:rsid w:val="00F2277B"/>
    <w:rsid w:val="00F22821"/>
    <w:rsid w:val="00F228A2"/>
    <w:rsid w:val="00F22932"/>
    <w:rsid w:val="00F22C00"/>
    <w:rsid w:val="00F22EF0"/>
    <w:rsid w:val="00F2593C"/>
    <w:rsid w:val="00F26CC8"/>
    <w:rsid w:val="00F271CF"/>
    <w:rsid w:val="00F27DAB"/>
    <w:rsid w:val="00F30F6A"/>
    <w:rsid w:val="00F31D48"/>
    <w:rsid w:val="00F31EE2"/>
    <w:rsid w:val="00F32191"/>
    <w:rsid w:val="00F321C4"/>
    <w:rsid w:val="00F323BA"/>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74A7"/>
    <w:rsid w:val="00F51CFD"/>
    <w:rsid w:val="00F51D8D"/>
    <w:rsid w:val="00F55580"/>
    <w:rsid w:val="00F61383"/>
    <w:rsid w:val="00F61E09"/>
    <w:rsid w:val="00F61FF8"/>
    <w:rsid w:val="00F6226E"/>
    <w:rsid w:val="00F62634"/>
    <w:rsid w:val="00F63116"/>
    <w:rsid w:val="00F632AC"/>
    <w:rsid w:val="00F632C4"/>
    <w:rsid w:val="00F642DE"/>
    <w:rsid w:val="00F67767"/>
    <w:rsid w:val="00F7005D"/>
    <w:rsid w:val="00F706F0"/>
    <w:rsid w:val="00F71599"/>
    <w:rsid w:val="00F71E84"/>
    <w:rsid w:val="00F72957"/>
    <w:rsid w:val="00F72CF4"/>
    <w:rsid w:val="00F74C30"/>
    <w:rsid w:val="00F77451"/>
    <w:rsid w:val="00F804AA"/>
    <w:rsid w:val="00F80D22"/>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2539"/>
    <w:rsid w:val="00F949C7"/>
    <w:rsid w:val="00F96CC9"/>
    <w:rsid w:val="00F97950"/>
    <w:rsid w:val="00FA0332"/>
    <w:rsid w:val="00FA1727"/>
    <w:rsid w:val="00FA3259"/>
    <w:rsid w:val="00FA3715"/>
    <w:rsid w:val="00FA39CF"/>
    <w:rsid w:val="00FA4BA2"/>
    <w:rsid w:val="00FA5AB1"/>
    <w:rsid w:val="00FA6042"/>
    <w:rsid w:val="00FA636B"/>
    <w:rsid w:val="00FB31FE"/>
    <w:rsid w:val="00FB5E6C"/>
    <w:rsid w:val="00FB6374"/>
    <w:rsid w:val="00FB6CB4"/>
    <w:rsid w:val="00FB6D76"/>
    <w:rsid w:val="00FB6FD8"/>
    <w:rsid w:val="00FC1314"/>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2A65"/>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5E4AD6"/>
    <w:rsid w:val="0168325F"/>
    <w:rsid w:val="018A44B4"/>
    <w:rsid w:val="01922DC9"/>
    <w:rsid w:val="019924DC"/>
    <w:rsid w:val="01A52705"/>
    <w:rsid w:val="021A1EAD"/>
    <w:rsid w:val="02316790"/>
    <w:rsid w:val="023E4914"/>
    <w:rsid w:val="024E1BAD"/>
    <w:rsid w:val="02606320"/>
    <w:rsid w:val="02734C55"/>
    <w:rsid w:val="02E9052A"/>
    <w:rsid w:val="02F10E60"/>
    <w:rsid w:val="031C2553"/>
    <w:rsid w:val="03237D85"/>
    <w:rsid w:val="03387229"/>
    <w:rsid w:val="03443A6F"/>
    <w:rsid w:val="03630182"/>
    <w:rsid w:val="03724537"/>
    <w:rsid w:val="03851ED2"/>
    <w:rsid w:val="03A96165"/>
    <w:rsid w:val="03F44933"/>
    <w:rsid w:val="04043AA5"/>
    <w:rsid w:val="041E7ACD"/>
    <w:rsid w:val="04201B8B"/>
    <w:rsid w:val="04382BE0"/>
    <w:rsid w:val="043E7102"/>
    <w:rsid w:val="045E7194"/>
    <w:rsid w:val="04695794"/>
    <w:rsid w:val="046E5030"/>
    <w:rsid w:val="0477350E"/>
    <w:rsid w:val="048D42C4"/>
    <w:rsid w:val="049E3BEA"/>
    <w:rsid w:val="04A006E1"/>
    <w:rsid w:val="051A65C3"/>
    <w:rsid w:val="052E1C9F"/>
    <w:rsid w:val="0531200C"/>
    <w:rsid w:val="053E109C"/>
    <w:rsid w:val="054C6411"/>
    <w:rsid w:val="056C5342"/>
    <w:rsid w:val="058C7E64"/>
    <w:rsid w:val="05A23FE4"/>
    <w:rsid w:val="05B60A3D"/>
    <w:rsid w:val="05E002BE"/>
    <w:rsid w:val="05E35B59"/>
    <w:rsid w:val="06147E59"/>
    <w:rsid w:val="06481AD4"/>
    <w:rsid w:val="06521913"/>
    <w:rsid w:val="06567772"/>
    <w:rsid w:val="0669476D"/>
    <w:rsid w:val="06741B83"/>
    <w:rsid w:val="06805122"/>
    <w:rsid w:val="069353D8"/>
    <w:rsid w:val="06952ADA"/>
    <w:rsid w:val="06D83073"/>
    <w:rsid w:val="06DF7532"/>
    <w:rsid w:val="06F36A08"/>
    <w:rsid w:val="071A149F"/>
    <w:rsid w:val="071B4038"/>
    <w:rsid w:val="07244F18"/>
    <w:rsid w:val="07422C6F"/>
    <w:rsid w:val="07655DB3"/>
    <w:rsid w:val="07DA0583"/>
    <w:rsid w:val="081E6D77"/>
    <w:rsid w:val="082779D0"/>
    <w:rsid w:val="0838737A"/>
    <w:rsid w:val="08444D9F"/>
    <w:rsid w:val="088A4392"/>
    <w:rsid w:val="089935B7"/>
    <w:rsid w:val="08AA4743"/>
    <w:rsid w:val="08D12404"/>
    <w:rsid w:val="08DA0D79"/>
    <w:rsid w:val="0925564D"/>
    <w:rsid w:val="0927319F"/>
    <w:rsid w:val="092B3141"/>
    <w:rsid w:val="097517AF"/>
    <w:rsid w:val="097A7948"/>
    <w:rsid w:val="098C68F8"/>
    <w:rsid w:val="09AC4724"/>
    <w:rsid w:val="09B87F24"/>
    <w:rsid w:val="09F95F96"/>
    <w:rsid w:val="09FB55B8"/>
    <w:rsid w:val="0A0334B3"/>
    <w:rsid w:val="0A2F4FF7"/>
    <w:rsid w:val="0A3C1CA7"/>
    <w:rsid w:val="0A461924"/>
    <w:rsid w:val="0A627544"/>
    <w:rsid w:val="0A901CC5"/>
    <w:rsid w:val="0A9706F8"/>
    <w:rsid w:val="0B072024"/>
    <w:rsid w:val="0B0914F5"/>
    <w:rsid w:val="0B110D86"/>
    <w:rsid w:val="0B2047CC"/>
    <w:rsid w:val="0B2916C2"/>
    <w:rsid w:val="0B91761E"/>
    <w:rsid w:val="0BCA33E7"/>
    <w:rsid w:val="0BE77B0B"/>
    <w:rsid w:val="0C061FF2"/>
    <w:rsid w:val="0C1666D9"/>
    <w:rsid w:val="0C5B40EC"/>
    <w:rsid w:val="0C83295D"/>
    <w:rsid w:val="0C89471E"/>
    <w:rsid w:val="0CAE5CFF"/>
    <w:rsid w:val="0D10175C"/>
    <w:rsid w:val="0D2A3ABE"/>
    <w:rsid w:val="0D3E4270"/>
    <w:rsid w:val="0D494161"/>
    <w:rsid w:val="0D4F57E4"/>
    <w:rsid w:val="0D611BD6"/>
    <w:rsid w:val="0D6669BD"/>
    <w:rsid w:val="0D6C3380"/>
    <w:rsid w:val="0D813B77"/>
    <w:rsid w:val="0D9D24E2"/>
    <w:rsid w:val="0DC64678"/>
    <w:rsid w:val="0DCB05AE"/>
    <w:rsid w:val="0DF70178"/>
    <w:rsid w:val="0DF94899"/>
    <w:rsid w:val="0DFA1324"/>
    <w:rsid w:val="0E28237D"/>
    <w:rsid w:val="0E3177FA"/>
    <w:rsid w:val="0E32410D"/>
    <w:rsid w:val="0EA86D69"/>
    <w:rsid w:val="0EB14180"/>
    <w:rsid w:val="0EBC4E69"/>
    <w:rsid w:val="0EDD408A"/>
    <w:rsid w:val="0EF64818"/>
    <w:rsid w:val="0EFB37A0"/>
    <w:rsid w:val="0F247042"/>
    <w:rsid w:val="0F3D389D"/>
    <w:rsid w:val="0F434292"/>
    <w:rsid w:val="0F8236D5"/>
    <w:rsid w:val="0FA65B55"/>
    <w:rsid w:val="0FBC2F08"/>
    <w:rsid w:val="0FC55235"/>
    <w:rsid w:val="0FF30ADF"/>
    <w:rsid w:val="100644D9"/>
    <w:rsid w:val="1009280B"/>
    <w:rsid w:val="100E134E"/>
    <w:rsid w:val="100F3B6B"/>
    <w:rsid w:val="10264018"/>
    <w:rsid w:val="1050087E"/>
    <w:rsid w:val="10B2256F"/>
    <w:rsid w:val="10C17787"/>
    <w:rsid w:val="10C64A93"/>
    <w:rsid w:val="10DC68D5"/>
    <w:rsid w:val="11803EC2"/>
    <w:rsid w:val="11AB78C4"/>
    <w:rsid w:val="11AC730F"/>
    <w:rsid w:val="11BC1C1F"/>
    <w:rsid w:val="11CF1EF1"/>
    <w:rsid w:val="11EA2CE5"/>
    <w:rsid w:val="121A40C0"/>
    <w:rsid w:val="126D2AE8"/>
    <w:rsid w:val="128800FC"/>
    <w:rsid w:val="12994AF8"/>
    <w:rsid w:val="12AE6B32"/>
    <w:rsid w:val="12C43EF0"/>
    <w:rsid w:val="12C4475B"/>
    <w:rsid w:val="12D6647C"/>
    <w:rsid w:val="13076D7C"/>
    <w:rsid w:val="132B46CB"/>
    <w:rsid w:val="1347382D"/>
    <w:rsid w:val="135421F8"/>
    <w:rsid w:val="13616BDF"/>
    <w:rsid w:val="13753967"/>
    <w:rsid w:val="13A1080A"/>
    <w:rsid w:val="13D33102"/>
    <w:rsid w:val="13DF2D80"/>
    <w:rsid w:val="13EB17D3"/>
    <w:rsid w:val="142A4E08"/>
    <w:rsid w:val="14465682"/>
    <w:rsid w:val="144D6A10"/>
    <w:rsid w:val="146B3973"/>
    <w:rsid w:val="14C966F5"/>
    <w:rsid w:val="14D8207C"/>
    <w:rsid w:val="14DA386A"/>
    <w:rsid w:val="14E42898"/>
    <w:rsid w:val="14F224D3"/>
    <w:rsid w:val="15073605"/>
    <w:rsid w:val="152A4236"/>
    <w:rsid w:val="155807CF"/>
    <w:rsid w:val="15786FC5"/>
    <w:rsid w:val="15FA4347"/>
    <w:rsid w:val="162701DA"/>
    <w:rsid w:val="162B22EC"/>
    <w:rsid w:val="164C31F0"/>
    <w:rsid w:val="164D4538"/>
    <w:rsid w:val="16AA643D"/>
    <w:rsid w:val="16C16894"/>
    <w:rsid w:val="16E62698"/>
    <w:rsid w:val="170B2AE0"/>
    <w:rsid w:val="170C2076"/>
    <w:rsid w:val="171347E8"/>
    <w:rsid w:val="171F0553"/>
    <w:rsid w:val="173338FA"/>
    <w:rsid w:val="17656EC7"/>
    <w:rsid w:val="17865E6F"/>
    <w:rsid w:val="178B2FCA"/>
    <w:rsid w:val="17D73777"/>
    <w:rsid w:val="17E5229C"/>
    <w:rsid w:val="183A16EE"/>
    <w:rsid w:val="18590CBC"/>
    <w:rsid w:val="186A22B4"/>
    <w:rsid w:val="188859CE"/>
    <w:rsid w:val="188E147E"/>
    <w:rsid w:val="189F55F4"/>
    <w:rsid w:val="18F273A6"/>
    <w:rsid w:val="192A68C8"/>
    <w:rsid w:val="196E49C7"/>
    <w:rsid w:val="19923117"/>
    <w:rsid w:val="19960E59"/>
    <w:rsid w:val="199F5019"/>
    <w:rsid w:val="19DF13F6"/>
    <w:rsid w:val="19F142E2"/>
    <w:rsid w:val="1A0E6C42"/>
    <w:rsid w:val="1A390864"/>
    <w:rsid w:val="1A501008"/>
    <w:rsid w:val="1A6A324A"/>
    <w:rsid w:val="1A6D4B8A"/>
    <w:rsid w:val="1AAC4E51"/>
    <w:rsid w:val="1AAD645B"/>
    <w:rsid w:val="1AC77936"/>
    <w:rsid w:val="1AD80FFE"/>
    <w:rsid w:val="1B06535A"/>
    <w:rsid w:val="1B181533"/>
    <w:rsid w:val="1BA7556B"/>
    <w:rsid w:val="1BC17CE4"/>
    <w:rsid w:val="1BDE1760"/>
    <w:rsid w:val="1BF63E31"/>
    <w:rsid w:val="1C2551E1"/>
    <w:rsid w:val="1C4B349A"/>
    <w:rsid w:val="1C656F34"/>
    <w:rsid w:val="1C821221"/>
    <w:rsid w:val="1C907DE2"/>
    <w:rsid w:val="1C946602"/>
    <w:rsid w:val="1CA232AC"/>
    <w:rsid w:val="1CC63804"/>
    <w:rsid w:val="1CCA7376"/>
    <w:rsid w:val="1D0B7287"/>
    <w:rsid w:val="1D0E5817"/>
    <w:rsid w:val="1D493BE8"/>
    <w:rsid w:val="1DA03128"/>
    <w:rsid w:val="1DA05131"/>
    <w:rsid w:val="1DB25B96"/>
    <w:rsid w:val="1DC52A30"/>
    <w:rsid w:val="1DC65517"/>
    <w:rsid w:val="1DD66520"/>
    <w:rsid w:val="1DE870A5"/>
    <w:rsid w:val="1E16127D"/>
    <w:rsid w:val="1E1660C5"/>
    <w:rsid w:val="1E2A33E0"/>
    <w:rsid w:val="1E465BA2"/>
    <w:rsid w:val="1E5E47E0"/>
    <w:rsid w:val="1E65548D"/>
    <w:rsid w:val="1E6A5CCC"/>
    <w:rsid w:val="1E84689A"/>
    <w:rsid w:val="1EC91389"/>
    <w:rsid w:val="1ECE6AE8"/>
    <w:rsid w:val="1F1555E0"/>
    <w:rsid w:val="1F5472F6"/>
    <w:rsid w:val="1F663A3C"/>
    <w:rsid w:val="1F6E7EA0"/>
    <w:rsid w:val="1F7B0809"/>
    <w:rsid w:val="1F805BBC"/>
    <w:rsid w:val="1FE73C5F"/>
    <w:rsid w:val="1FF877BF"/>
    <w:rsid w:val="202915A2"/>
    <w:rsid w:val="2038536A"/>
    <w:rsid w:val="204449DD"/>
    <w:rsid w:val="204539A1"/>
    <w:rsid w:val="204A02A8"/>
    <w:rsid w:val="207019F5"/>
    <w:rsid w:val="2095281F"/>
    <w:rsid w:val="20C462AC"/>
    <w:rsid w:val="20DD7A52"/>
    <w:rsid w:val="20EE157B"/>
    <w:rsid w:val="21087874"/>
    <w:rsid w:val="21346507"/>
    <w:rsid w:val="21435719"/>
    <w:rsid w:val="21457AA6"/>
    <w:rsid w:val="2184057F"/>
    <w:rsid w:val="218B501C"/>
    <w:rsid w:val="219C4AB4"/>
    <w:rsid w:val="21B76AE0"/>
    <w:rsid w:val="21B93937"/>
    <w:rsid w:val="223C008F"/>
    <w:rsid w:val="22472B4C"/>
    <w:rsid w:val="22643497"/>
    <w:rsid w:val="22794F14"/>
    <w:rsid w:val="227F77DE"/>
    <w:rsid w:val="229442B5"/>
    <w:rsid w:val="22C67959"/>
    <w:rsid w:val="22FB0688"/>
    <w:rsid w:val="22FD3CF7"/>
    <w:rsid w:val="231C0C23"/>
    <w:rsid w:val="232063A6"/>
    <w:rsid w:val="23635693"/>
    <w:rsid w:val="23700025"/>
    <w:rsid w:val="239F4B3B"/>
    <w:rsid w:val="23B76FD3"/>
    <w:rsid w:val="23C44AC9"/>
    <w:rsid w:val="23ED7ADD"/>
    <w:rsid w:val="240C6AFA"/>
    <w:rsid w:val="241951D0"/>
    <w:rsid w:val="2448342E"/>
    <w:rsid w:val="244B4D4A"/>
    <w:rsid w:val="24577437"/>
    <w:rsid w:val="245C48D7"/>
    <w:rsid w:val="246E108F"/>
    <w:rsid w:val="24A249FE"/>
    <w:rsid w:val="24A24B56"/>
    <w:rsid w:val="25066EF6"/>
    <w:rsid w:val="2518296A"/>
    <w:rsid w:val="252C08C4"/>
    <w:rsid w:val="254A2AF8"/>
    <w:rsid w:val="25714C9C"/>
    <w:rsid w:val="26066D6F"/>
    <w:rsid w:val="261F5CC0"/>
    <w:rsid w:val="26235A5B"/>
    <w:rsid w:val="26274F05"/>
    <w:rsid w:val="262E24B2"/>
    <w:rsid w:val="262F241A"/>
    <w:rsid w:val="26546AF3"/>
    <w:rsid w:val="265C6F87"/>
    <w:rsid w:val="268B284C"/>
    <w:rsid w:val="269B2604"/>
    <w:rsid w:val="26A26BEE"/>
    <w:rsid w:val="26B64CBE"/>
    <w:rsid w:val="26C7367F"/>
    <w:rsid w:val="26CD70F0"/>
    <w:rsid w:val="26FE1742"/>
    <w:rsid w:val="26FF1B22"/>
    <w:rsid w:val="2701248A"/>
    <w:rsid w:val="27015D0E"/>
    <w:rsid w:val="272B4880"/>
    <w:rsid w:val="273C404C"/>
    <w:rsid w:val="274F6261"/>
    <w:rsid w:val="275A1718"/>
    <w:rsid w:val="2772576F"/>
    <w:rsid w:val="277A093D"/>
    <w:rsid w:val="278241BD"/>
    <w:rsid w:val="278C389C"/>
    <w:rsid w:val="27971706"/>
    <w:rsid w:val="279767AD"/>
    <w:rsid w:val="27DC037F"/>
    <w:rsid w:val="27F21951"/>
    <w:rsid w:val="280755BB"/>
    <w:rsid w:val="280D5D95"/>
    <w:rsid w:val="286D29E1"/>
    <w:rsid w:val="288714FD"/>
    <w:rsid w:val="28964C4A"/>
    <w:rsid w:val="28B07116"/>
    <w:rsid w:val="28B5472C"/>
    <w:rsid w:val="28CC3AA7"/>
    <w:rsid w:val="28EA436C"/>
    <w:rsid w:val="29215BA4"/>
    <w:rsid w:val="29660000"/>
    <w:rsid w:val="298A5CBE"/>
    <w:rsid w:val="29A65A1D"/>
    <w:rsid w:val="29A70519"/>
    <w:rsid w:val="29AF38AF"/>
    <w:rsid w:val="29B4634A"/>
    <w:rsid w:val="29EA6C76"/>
    <w:rsid w:val="29F10992"/>
    <w:rsid w:val="2A2E1289"/>
    <w:rsid w:val="2A8229CD"/>
    <w:rsid w:val="2A8453B1"/>
    <w:rsid w:val="2A863051"/>
    <w:rsid w:val="2A9860B3"/>
    <w:rsid w:val="2A9920D3"/>
    <w:rsid w:val="2AA56CCB"/>
    <w:rsid w:val="2AA64C74"/>
    <w:rsid w:val="2AE37315"/>
    <w:rsid w:val="2B2412CD"/>
    <w:rsid w:val="2B2433DD"/>
    <w:rsid w:val="2B7045BE"/>
    <w:rsid w:val="2B8A6191"/>
    <w:rsid w:val="2B9D7C99"/>
    <w:rsid w:val="2BA90F52"/>
    <w:rsid w:val="2BAB53B1"/>
    <w:rsid w:val="2BB51544"/>
    <w:rsid w:val="2BC346BE"/>
    <w:rsid w:val="2BE16598"/>
    <w:rsid w:val="2BF269A7"/>
    <w:rsid w:val="2C1C696A"/>
    <w:rsid w:val="2C3D5D23"/>
    <w:rsid w:val="2C5174E0"/>
    <w:rsid w:val="2C5618F8"/>
    <w:rsid w:val="2C6A365C"/>
    <w:rsid w:val="2C877A43"/>
    <w:rsid w:val="2C8F59B2"/>
    <w:rsid w:val="2CE22AB5"/>
    <w:rsid w:val="2CFA6D03"/>
    <w:rsid w:val="2D742E08"/>
    <w:rsid w:val="2D845825"/>
    <w:rsid w:val="2D9A7120"/>
    <w:rsid w:val="2DC50F24"/>
    <w:rsid w:val="2DE435D2"/>
    <w:rsid w:val="2DF36570"/>
    <w:rsid w:val="2E235B1A"/>
    <w:rsid w:val="2E2D4D5E"/>
    <w:rsid w:val="2E3512B9"/>
    <w:rsid w:val="2E67296D"/>
    <w:rsid w:val="2ECF2A5B"/>
    <w:rsid w:val="2F2D4173"/>
    <w:rsid w:val="2F3C308F"/>
    <w:rsid w:val="2F503401"/>
    <w:rsid w:val="2F8278DB"/>
    <w:rsid w:val="2F9C7A54"/>
    <w:rsid w:val="2F9D6043"/>
    <w:rsid w:val="2FA06136"/>
    <w:rsid w:val="2FC04163"/>
    <w:rsid w:val="2FD71C09"/>
    <w:rsid w:val="2FFB15BE"/>
    <w:rsid w:val="3006129D"/>
    <w:rsid w:val="30562C99"/>
    <w:rsid w:val="305B02AF"/>
    <w:rsid w:val="30A6611F"/>
    <w:rsid w:val="30B5333E"/>
    <w:rsid w:val="30D81900"/>
    <w:rsid w:val="30F06C49"/>
    <w:rsid w:val="30F90549"/>
    <w:rsid w:val="313C614E"/>
    <w:rsid w:val="31505DAD"/>
    <w:rsid w:val="31532F2D"/>
    <w:rsid w:val="318320A8"/>
    <w:rsid w:val="3186310A"/>
    <w:rsid w:val="31A40879"/>
    <w:rsid w:val="31A43590"/>
    <w:rsid w:val="31C1309B"/>
    <w:rsid w:val="31CD7106"/>
    <w:rsid w:val="31F57EDC"/>
    <w:rsid w:val="31FE0EF2"/>
    <w:rsid w:val="320C1BA8"/>
    <w:rsid w:val="321D581C"/>
    <w:rsid w:val="321F61DB"/>
    <w:rsid w:val="32AA5A6C"/>
    <w:rsid w:val="32B56792"/>
    <w:rsid w:val="32BC30EA"/>
    <w:rsid w:val="32C51192"/>
    <w:rsid w:val="32CD43F3"/>
    <w:rsid w:val="32EE7C35"/>
    <w:rsid w:val="33034158"/>
    <w:rsid w:val="332848FF"/>
    <w:rsid w:val="33843679"/>
    <w:rsid w:val="33B33591"/>
    <w:rsid w:val="33C40DAF"/>
    <w:rsid w:val="33CB50F6"/>
    <w:rsid w:val="33E32A95"/>
    <w:rsid w:val="33EA5773"/>
    <w:rsid w:val="34156596"/>
    <w:rsid w:val="341579FF"/>
    <w:rsid w:val="343B1E3D"/>
    <w:rsid w:val="347B2C27"/>
    <w:rsid w:val="3480762C"/>
    <w:rsid w:val="34B1049E"/>
    <w:rsid w:val="34B563E2"/>
    <w:rsid w:val="34C71782"/>
    <w:rsid w:val="34CA2810"/>
    <w:rsid w:val="34F73875"/>
    <w:rsid w:val="3502519D"/>
    <w:rsid w:val="35033E04"/>
    <w:rsid w:val="350A1874"/>
    <w:rsid w:val="350C4714"/>
    <w:rsid w:val="351A087B"/>
    <w:rsid w:val="35270B41"/>
    <w:rsid w:val="353323D5"/>
    <w:rsid w:val="355B006D"/>
    <w:rsid w:val="3592207D"/>
    <w:rsid w:val="35925C72"/>
    <w:rsid w:val="35973F2D"/>
    <w:rsid w:val="35C26DEE"/>
    <w:rsid w:val="35FF050B"/>
    <w:rsid w:val="360F267E"/>
    <w:rsid w:val="365A50BB"/>
    <w:rsid w:val="366E68DA"/>
    <w:rsid w:val="36881F0D"/>
    <w:rsid w:val="36C41867"/>
    <w:rsid w:val="36CC24F7"/>
    <w:rsid w:val="37052D23"/>
    <w:rsid w:val="370E4C3C"/>
    <w:rsid w:val="373C06F3"/>
    <w:rsid w:val="373C3CC0"/>
    <w:rsid w:val="375436D4"/>
    <w:rsid w:val="37545502"/>
    <w:rsid w:val="37855348"/>
    <w:rsid w:val="37D4606B"/>
    <w:rsid w:val="37FA4F3B"/>
    <w:rsid w:val="381F5E35"/>
    <w:rsid w:val="383813C8"/>
    <w:rsid w:val="385244BD"/>
    <w:rsid w:val="38623892"/>
    <w:rsid w:val="38650C3E"/>
    <w:rsid w:val="388809BB"/>
    <w:rsid w:val="388A07DC"/>
    <w:rsid w:val="38E431AE"/>
    <w:rsid w:val="38F57B5C"/>
    <w:rsid w:val="38FD2469"/>
    <w:rsid w:val="39334744"/>
    <w:rsid w:val="3948026B"/>
    <w:rsid w:val="3956604D"/>
    <w:rsid w:val="39916040"/>
    <w:rsid w:val="39A1679C"/>
    <w:rsid w:val="39F12A70"/>
    <w:rsid w:val="3A132F16"/>
    <w:rsid w:val="3A1B3237"/>
    <w:rsid w:val="3A881CA1"/>
    <w:rsid w:val="3A93517E"/>
    <w:rsid w:val="3AE72E6B"/>
    <w:rsid w:val="3B42434C"/>
    <w:rsid w:val="3B4D1EC3"/>
    <w:rsid w:val="3BC27434"/>
    <w:rsid w:val="3BCE7B87"/>
    <w:rsid w:val="3BE55A8F"/>
    <w:rsid w:val="3BF44C1A"/>
    <w:rsid w:val="3C030505"/>
    <w:rsid w:val="3C34574B"/>
    <w:rsid w:val="3C5A2D1C"/>
    <w:rsid w:val="3C5E53AF"/>
    <w:rsid w:val="3C7941AB"/>
    <w:rsid w:val="3C99558D"/>
    <w:rsid w:val="3CB37024"/>
    <w:rsid w:val="3CE47750"/>
    <w:rsid w:val="3CF151F9"/>
    <w:rsid w:val="3D057F7D"/>
    <w:rsid w:val="3D0976C4"/>
    <w:rsid w:val="3D0D1E6A"/>
    <w:rsid w:val="3D373FB0"/>
    <w:rsid w:val="3D4752E9"/>
    <w:rsid w:val="3D622C7D"/>
    <w:rsid w:val="3D7E34D1"/>
    <w:rsid w:val="3D8C258A"/>
    <w:rsid w:val="3DA7157D"/>
    <w:rsid w:val="3DE23DBE"/>
    <w:rsid w:val="3DF7298C"/>
    <w:rsid w:val="3E0347A6"/>
    <w:rsid w:val="3E37139E"/>
    <w:rsid w:val="3E386E20"/>
    <w:rsid w:val="3E5C5F16"/>
    <w:rsid w:val="3E7E3EC9"/>
    <w:rsid w:val="3E7E6A1E"/>
    <w:rsid w:val="3F3527DB"/>
    <w:rsid w:val="3F610CAF"/>
    <w:rsid w:val="3F850EA5"/>
    <w:rsid w:val="3F92191C"/>
    <w:rsid w:val="3FC4377B"/>
    <w:rsid w:val="402F14D9"/>
    <w:rsid w:val="4042437C"/>
    <w:rsid w:val="40437225"/>
    <w:rsid w:val="40666255"/>
    <w:rsid w:val="40750F19"/>
    <w:rsid w:val="40852B71"/>
    <w:rsid w:val="40A22AC1"/>
    <w:rsid w:val="40A56A55"/>
    <w:rsid w:val="40D04F96"/>
    <w:rsid w:val="412F650A"/>
    <w:rsid w:val="4154383A"/>
    <w:rsid w:val="415826D8"/>
    <w:rsid w:val="416A77B2"/>
    <w:rsid w:val="42092064"/>
    <w:rsid w:val="420B5DF7"/>
    <w:rsid w:val="42521DD1"/>
    <w:rsid w:val="427E562E"/>
    <w:rsid w:val="427F2267"/>
    <w:rsid w:val="42C22B34"/>
    <w:rsid w:val="42C433F4"/>
    <w:rsid w:val="42E6571C"/>
    <w:rsid w:val="42F624A6"/>
    <w:rsid w:val="43297F3D"/>
    <w:rsid w:val="432F3601"/>
    <w:rsid w:val="434C069A"/>
    <w:rsid w:val="43707565"/>
    <w:rsid w:val="43814E59"/>
    <w:rsid w:val="43CA597D"/>
    <w:rsid w:val="440C3942"/>
    <w:rsid w:val="4412373D"/>
    <w:rsid w:val="445A645C"/>
    <w:rsid w:val="44846EF4"/>
    <w:rsid w:val="448B20BD"/>
    <w:rsid w:val="44B3209C"/>
    <w:rsid w:val="44CD1324"/>
    <w:rsid w:val="44D00889"/>
    <w:rsid w:val="44DB3186"/>
    <w:rsid w:val="44F11AA7"/>
    <w:rsid w:val="451E1B7F"/>
    <w:rsid w:val="453146CD"/>
    <w:rsid w:val="455A36D4"/>
    <w:rsid w:val="45642733"/>
    <w:rsid w:val="456D6663"/>
    <w:rsid w:val="45B85B30"/>
    <w:rsid w:val="45FB5915"/>
    <w:rsid w:val="4613720A"/>
    <w:rsid w:val="462875A5"/>
    <w:rsid w:val="462E6C0B"/>
    <w:rsid w:val="464E0242"/>
    <w:rsid w:val="46A401F3"/>
    <w:rsid w:val="47077F50"/>
    <w:rsid w:val="470D1EAB"/>
    <w:rsid w:val="4743767B"/>
    <w:rsid w:val="475A0EB2"/>
    <w:rsid w:val="475B3E56"/>
    <w:rsid w:val="475E4BEA"/>
    <w:rsid w:val="47766E62"/>
    <w:rsid w:val="479E21BE"/>
    <w:rsid w:val="47CB5980"/>
    <w:rsid w:val="47E7569B"/>
    <w:rsid w:val="4883485C"/>
    <w:rsid w:val="488739F0"/>
    <w:rsid w:val="489108BA"/>
    <w:rsid w:val="48BA78DE"/>
    <w:rsid w:val="48C2276C"/>
    <w:rsid w:val="48CA70FD"/>
    <w:rsid w:val="48CB5058"/>
    <w:rsid w:val="48CC2435"/>
    <w:rsid w:val="490270C2"/>
    <w:rsid w:val="490C1CEF"/>
    <w:rsid w:val="490D4C4F"/>
    <w:rsid w:val="499814CB"/>
    <w:rsid w:val="499C42E2"/>
    <w:rsid w:val="49E85607"/>
    <w:rsid w:val="49FA026B"/>
    <w:rsid w:val="49FA3470"/>
    <w:rsid w:val="4A1705FD"/>
    <w:rsid w:val="4A3630B8"/>
    <w:rsid w:val="4A394ED9"/>
    <w:rsid w:val="4A596B7C"/>
    <w:rsid w:val="4A5E3A23"/>
    <w:rsid w:val="4A69389D"/>
    <w:rsid w:val="4A92373A"/>
    <w:rsid w:val="4AA043AA"/>
    <w:rsid w:val="4AB97C54"/>
    <w:rsid w:val="4ABA51D3"/>
    <w:rsid w:val="4ABD1A49"/>
    <w:rsid w:val="4AD16E3D"/>
    <w:rsid w:val="4B17556D"/>
    <w:rsid w:val="4B180E1F"/>
    <w:rsid w:val="4B46248B"/>
    <w:rsid w:val="4B8D6483"/>
    <w:rsid w:val="4B994F91"/>
    <w:rsid w:val="4BA34B8C"/>
    <w:rsid w:val="4BBD33CE"/>
    <w:rsid w:val="4BC340ED"/>
    <w:rsid w:val="4BC75233"/>
    <w:rsid w:val="4C1C493F"/>
    <w:rsid w:val="4C5B7BDE"/>
    <w:rsid w:val="4C7C04DD"/>
    <w:rsid w:val="4C8F3363"/>
    <w:rsid w:val="4CAA6DEC"/>
    <w:rsid w:val="4CBB5870"/>
    <w:rsid w:val="4CC53937"/>
    <w:rsid w:val="4CCE3E8B"/>
    <w:rsid w:val="4CF16F4A"/>
    <w:rsid w:val="4CFF4044"/>
    <w:rsid w:val="4D0E12D1"/>
    <w:rsid w:val="4D261E0F"/>
    <w:rsid w:val="4D267823"/>
    <w:rsid w:val="4D291727"/>
    <w:rsid w:val="4D2A6786"/>
    <w:rsid w:val="4D3913B2"/>
    <w:rsid w:val="4D403A3F"/>
    <w:rsid w:val="4D4B1038"/>
    <w:rsid w:val="4D681C3A"/>
    <w:rsid w:val="4D976B7C"/>
    <w:rsid w:val="4D986247"/>
    <w:rsid w:val="4DAA76F7"/>
    <w:rsid w:val="4DBE1C1A"/>
    <w:rsid w:val="4DEF06D0"/>
    <w:rsid w:val="4DFF0486"/>
    <w:rsid w:val="4DFF3300"/>
    <w:rsid w:val="4E0C0B2F"/>
    <w:rsid w:val="4E377B1B"/>
    <w:rsid w:val="4EAF1A9A"/>
    <w:rsid w:val="4EC877D1"/>
    <w:rsid w:val="4F03505F"/>
    <w:rsid w:val="4F203DE0"/>
    <w:rsid w:val="4F404829"/>
    <w:rsid w:val="4F4C25C9"/>
    <w:rsid w:val="4F610FE6"/>
    <w:rsid w:val="4F641F3C"/>
    <w:rsid w:val="4F72431F"/>
    <w:rsid w:val="4F9C3DCC"/>
    <w:rsid w:val="4FA90FFB"/>
    <w:rsid w:val="4FAB04B3"/>
    <w:rsid w:val="4FBE780A"/>
    <w:rsid w:val="4FF442B8"/>
    <w:rsid w:val="4FF74036"/>
    <w:rsid w:val="5006624C"/>
    <w:rsid w:val="5023371B"/>
    <w:rsid w:val="503A7D50"/>
    <w:rsid w:val="50573EE0"/>
    <w:rsid w:val="50687EE1"/>
    <w:rsid w:val="50825ABD"/>
    <w:rsid w:val="50847E24"/>
    <w:rsid w:val="508B2042"/>
    <w:rsid w:val="50A117D4"/>
    <w:rsid w:val="50DC48AF"/>
    <w:rsid w:val="50F1625A"/>
    <w:rsid w:val="51010C5C"/>
    <w:rsid w:val="510A5B27"/>
    <w:rsid w:val="5124215A"/>
    <w:rsid w:val="51320B4E"/>
    <w:rsid w:val="513F5357"/>
    <w:rsid w:val="517806BF"/>
    <w:rsid w:val="519B7926"/>
    <w:rsid w:val="51B15013"/>
    <w:rsid w:val="51B55619"/>
    <w:rsid w:val="51E62428"/>
    <w:rsid w:val="51F176E8"/>
    <w:rsid w:val="51F6759E"/>
    <w:rsid w:val="5222697F"/>
    <w:rsid w:val="524060DC"/>
    <w:rsid w:val="527375B5"/>
    <w:rsid w:val="527C1C93"/>
    <w:rsid w:val="52D93B7C"/>
    <w:rsid w:val="52E0721B"/>
    <w:rsid w:val="52E7467F"/>
    <w:rsid w:val="52FD111D"/>
    <w:rsid w:val="530379C0"/>
    <w:rsid w:val="5318224A"/>
    <w:rsid w:val="53211D72"/>
    <w:rsid w:val="5334399F"/>
    <w:rsid w:val="533A3138"/>
    <w:rsid w:val="537D1372"/>
    <w:rsid w:val="53FF22C9"/>
    <w:rsid w:val="54124691"/>
    <w:rsid w:val="544E4D2A"/>
    <w:rsid w:val="54A52B04"/>
    <w:rsid w:val="54BF37EA"/>
    <w:rsid w:val="55061C05"/>
    <w:rsid w:val="550D4C7E"/>
    <w:rsid w:val="55361973"/>
    <w:rsid w:val="55826059"/>
    <w:rsid w:val="55B577AC"/>
    <w:rsid w:val="55B81195"/>
    <w:rsid w:val="55B840E3"/>
    <w:rsid w:val="55D80BDC"/>
    <w:rsid w:val="55DB4169"/>
    <w:rsid w:val="55E87394"/>
    <w:rsid w:val="56021E2A"/>
    <w:rsid w:val="560A0CCC"/>
    <w:rsid w:val="560A7BA7"/>
    <w:rsid w:val="561E24B4"/>
    <w:rsid w:val="567233E3"/>
    <w:rsid w:val="56813D12"/>
    <w:rsid w:val="56B15CA4"/>
    <w:rsid w:val="56D53EDE"/>
    <w:rsid w:val="56FE0584"/>
    <w:rsid w:val="56FE6056"/>
    <w:rsid w:val="57083CBC"/>
    <w:rsid w:val="573B17CB"/>
    <w:rsid w:val="573D4E87"/>
    <w:rsid w:val="5781514F"/>
    <w:rsid w:val="578D15B1"/>
    <w:rsid w:val="57A25E51"/>
    <w:rsid w:val="57E45843"/>
    <w:rsid w:val="57F77A99"/>
    <w:rsid w:val="58036FF1"/>
    <w:rsid w:val="58042049"/>
    <w:rsid w:val="581F31B7"/>
    <w:rsid w:val="582B1716"/>
    <w:rsid w:val="585B2F03"/>
    <w:rsid w:val="58726012"/>
    <w:rsid w:val="58803767"/>
    <w:rsid w:val="58807951"/>
    <w:rsid w:val="589177CC"/>
    <w:rsid w:val="58DF4006"/>
    <w:rsid w:val="590C49C3"/>
    <w:rsid w:val="591D14AE"/>
    <w:rsid w:val="591F64C4"/>
    <w:rsid w:val="59272B65"/>
    <w:rsid w:val="59284BD5"/>
    <w:rsid w:val="593928F1"/>
    <w:rsid w:val="59407EBE"/>
    <w:rsid w:val="596E2614"/>
    <w:rsid w:val="59847F15"/>
    <w:rsid w:val="59B30F36"/>
    <w:rsid w:val="59BE023D"/>
    <w:rsid w:val="59E35308"/>
    <w:rsid w:val="5A0C1B4F"/>
    <w:rsid w:val="5A151319"/>
    <w:rsid w:val="5A1D3D5C"/>
    <w:rsid w:val="5A20527D"/>
    <w:rsid w:val="5A601E9A"/>
    <w:rsid w:val="5A7E4921"/>
    <w:rsid w:val="5A8A3DB1"/>
    <w:rsid w:val="5A972372"/>
    <w:rsid w:val="5AA9184E"/>
    <w:rsid w:val="5AAC65BE"/>
    <w:rsid w:val="5AC10B8B"/>
    <w:rsid w:val="5AD433FA"/>
    <w:rsid w:val="5ADC5520"/>
    <w:rsid w:val="5AE31628"/>
    <w:rsid w:val="5B1B7F7F"/>
    <w:rsid w:val="5B383747"/>
    <w:rsid w:val="5B747B40"/>
    <w:rsid w:val="5BA3302A"/>
    <w:rsid w:val="5BC85BF2"/>
    <w:rsid w:val="5BD15CD7"/>
    <w:rsid w:val="5BD62506"/>
    <w:rsid w:val="5C281CBF"/>
    <w:rsid w:val="5C375F97"/>
    <w:rsid w:val="5C3F2313"/>
    <w:rsid w:val="5C3F26AF"/>
    <w:rsid w:val="5C4001D5"/>
    <w:rsid w:val="5C7F704A"/>
    <w:rsid w:val="5C9B540C"/>
    <w:rsid w:val="5CD003EE"/>
    <w:rsid w:val="5CDB0255"/>
    <w:rsid w:val="5CED0783"/>
    <w:rsid w:val="5D0040C4"/>
    <w:rsid w:val="5D1B5705"/>
    <w:rsid w:val="5D3868D0"/>
    <w:rsid w:val="5D3D5F84"/>
    <w:rsid w:val="5D464C29"/>
    <w:rsid w:val="5D72396D"/>
    <w:rsid w:val="5D771884"/>
    <w:rsid w:val="5D96394F"/>
    <w:rsid w:val="5D964835"/>
    <w:rsid w:val="5DA83F61"/>
    <w:rsid w:val="5DCC1CA1"/>
    <w:rsid w:val="5DF6043F"/>
    <w:rsid w:val="5DFE13F7"/>
    <w:rsid w:val="5E0A56D8"/>
    <w:rsid w:val="5E1E33A9"/>
    <w:rsid w:val="5E230800"/>
    <w:rsid w:val="5E271CE1"/>
    <w:rsid w:val="5E325730"/>
    <w:rsid w:val="5E3B3CA9"/>
    <w:rsid w:val="5E53162C"/>
    <w:rsid w:val="5EA66E00"/>
    <w:rsid w:val="5F0D7F4E"/>
    <w:rsid w:val="5F103D27"/>
    <w:rsid w:val="5F88394B"/>
    <w:rsid w:val="5F8A6E4E"/>
    <w:rsid w:val="5F924DC1"/>
    <w:rsid w:val="5FB95257"/>
    <w:rsid w:val="5FD93159"/>
    <w:rsid w:val="5FE837F5"/>
    <w:rsid w:val="5FF6617D"/>
    <w:rsid w:val="5FFE2592"/>
    <w:rsid w:val="604134CD"/>
    <w:rsid w:val="60BC2341"/>
    <w:rsid w:val="60DA0BF8"/>
    <w:rsid w:val="60DB75D3"/>
    <w:rsid w:val="60DF620F"/>
    <w:rsid w:val="61733AD5"/>
    <w:rsid w:val="618668C8"/>
    <w:rsid w:val="61B13F9A"/>
    <w:rsid w:val="61BC05B0"/>
    <w:rsid w:val="62007B87"/>
    <w:rsid w:val="626B4E79"/>
    <w:rsid w:val="62744735"/>
    <w:rsid w:val="627D15E7"/>
    <w:rsid w:val="62851CDD"/>
    <w:rsid w:val="62947594"/>
    <w:rsid w:val="62A71108"/>
    <w:rsid w:val="62B12EE3"/>
    <w:rsid w:val="62C872A0"/>
    <w:rsid w:val="62DE42A4"/>
    <w:rsid w:val="632623AE"/>
    <w:rsid w:val="6334467B"/>
    <w:rsid w:val="634B6A33"/>
    <w:rsid w:val="63537050"/>
    <w:rsid w:val="6366073D"/>
    <w:rsid w:val="637451BA"/>
    <w:rsid w:val="63856835"/>
    <w:rsid w:val="638C7095"/>
    <w:rsid w:val="64481CC9"/>
    <w:rsid w:val="648264B3"/>
    <w:rsid w:val="64B74F47"/>
    <w:rsid w:val="64BD0615"/>
    <w:rsid w:val="64EB5CA0"/>
    <w:rsid w:val="64F91C54"/>
    <w:rsid w:val="65031CD1"/>
    <w:rsid w:val="650352E9"/>
    <w:rsid w:val="65053E1E"/>
    <w:rsid w:val="65054FBD"/>
    <w:rsid w:val="650B73ED"/>
    <w:rsid w:val="65420171"/>
    <w:rsid w:val="65526949"/>
    <w:rsid w:val="65D5075D"/>
    <w:rsid w:val="65FC49E9"/>
    <w:rsid w:val="662A0A38"/>
    <w:rsid w:val="66486107"/>
    <w:rsid w:val="66494234"/>
    <w:rsid w:val="665011DF"/>
    <w:rsid w:val="6684029B"/>
    <w:rsid w:val="669A7F65"/>
    <w:rsid w:val="66B35A7A"/>
    <w:rsid w:val="66D76328"/>
    <w:rsid w:val="66E50D0E"/>
    <w:rsid w:val="66EC2A81"/>
    <w:rsid w:val="67247A5C"/>
    <w:rsid w:val="672B1A53"/>
    <w:rsid w:val="67C30AB2"/>
    <w:rsid w:val="67CD5013"/>
    <w:rsid w:val="67F72090"/>
    <w:rsid w:val="67FF7197"/>
    <w:rsid w:val="680C0D40"/>
    <w:rsid w:val="682F10B1"/>
    <w:rsid w:val="686B482C"/>
    <w:rsid w:val="68907DEF"/>
    <w:rsid w:val="68946DA9"/>
    <w:rsid w:val="68E77426"/>
    <w:rsid w:val="68F91E38"/>
    <w:rsid w:val="691C697F"/>
    <w:rsid w:val="693A0334"/>
    <w:rsid w:val="69836008"/>
    <w:rsid w:val="69841C93"/>
    <w:rsid w:val="69892653"/>
    <w:rsid w:val="69CC7479"/>
    <w:rsid w:val="69E43C45"/>
    <w:rsid w:val="69F5715D"/>
    <w:rsid w:val="6A270136"/>
    <w:rsid w:val="6A2B4A87"/>
    <w:rsid w:val="6A3C7DE8"/>
    <w:rsid w:val="6A5128E7"/>
    <w:rsid w:val="6A555782"/>
    <w:rsid w:val="6A5F3F1C"/>
    <w:rsid w:val="6A617017"/>
    <w:rsid w:val="6A62085F"/>
    <w:rsid w:val="6A7A6FA8"/>
    <w:rsid w:val="6A897109"/>
    <w:rsid w:val="6A9F20FF"/>
    <w:rsid w:val="6AC04C83"/>
    <w:rsid w:val="6AEF0C5E"/>
    <w:rsid w:val="6B31046B"/>
    <w:rsid w:val="6B400911"/>
    <w:rsid w:val="6B41632D"/>
    <w:rsid w:val="6B7457A6"/>
    <w:rsid w:val="6BA0669E"/>
    <w:rsid w:val="6BCB6198"/>
    <w:rsid w:val="6BFF59B7"/>
    <w:rsid w:val="6C1908AC"/>
    <w:rsid w:val="6C2D5854"/>
    <w:rsid w:val="6C6D2D0D"/>
    <w:rsid w:val="6C7453DE"/>
    <w:rsid w:val="6C79326C"/>
    <w:rsid w:val="6C855301"/>
    <w:rsid w:val="6CBC13F4"/>
    <w:rsid w:val="6CD25BDE"/>
    <w:rsid w:val="6D016666"/>
    <w:rsid w:val="6D1F041D"/>
    <w:rsid w:val="6D4C79DE"/>
    <w:rsid w:val="6D8650A8"/>
    <w:rsid w:val="6DA97C2D"/>
    <w:rsid w:val="6DF767A3"/>
    <w:rsid w:val="6E000787"/>
    <w:rsid w:val="6E091096"/>
    <w:rsid w:val="6E4352D1"/>
    <w:rsid w:val="6E586EDC"/>
    <w:rsid w:val="6E737441"/>
    <w:rsid w:val="6E74533B"/>
    <w:rsid w:val="6E7F4B8D"/>
    <w:rsid w:val="6EBC030F"/>
    <w:rsid w:val="6EE7690C"/>
    <w:rsid w:val="6EEA6245"/>
    <w:rsid w:val="6F2F55F5"/>
    <w:rsid w:val="6F386A00"/>
    <w:rsid w:val="6F4226E5"/>
    <w:rsid w:val="6F64004E"/>
    <w:rsid w:val="6F833ED3"/>
    <w:rsid w:val="6FE31E38"/>
    <w:rsid w:val="700B69B6"/>
    <w:rsid w:val="7016717C"/>
    <w:rsid w:val="701D01BA"/>
    <w:rsid w:val="701F46BD"/>
    <w:rsid w:val="704F6C8A"/>
    <w:rsid w:val="70512CBB"/>
    <w:rsid w:val="709F3AFD"/>
    <w:rsid w:val="70B7737C"/>
    <w:rsid w:val="70C90342"/>
    <w:rsid w:val="70D06298"/>
    <w:rsid w:val="70D37054"/>
    <w:rsid w:val="70D54F38"/>
    <w:rsid w:val="712612F0"/>
    <w:rsid w:val="71263532"/>
    <w:rsid w:val="71A13CED"/>
    <w:rsid w:val="71A212BE"/>
    <w:rsid w:val="72085F0E"/>
    <w:rsid w:val="722D66AE"/>
    <w:rsid w:val="7248108B"/>
    <w:rsid w:val="724A05E8"/>
    <w:rsid w:val="724D54DA"/>
    <w:rsid w:val="72646190"/>
    <w:rsid w:val="72811853"/>
    <w:rsid w:val="72BC0523"/>
    <w:rsid w:val="72D37019"/>
    <w:rsid w:val="738C1DEC"/>
    <w:rsid w:val="73944C37"/>
    <w:rsid w:val="73CD5085"/>
    <w:rsid w:val="73FD0B65"/>
    <w:rsid w:val="741065A6"/>
    <w:rsid w:val="74261C2A"/>
    <w:rsid w:val="743E4FDA"/>
    <w:rsid w:val="74454306"/>
    <w:rsid w:val="745D14B7"/>
    <w:rsid w:val="74620891"/>
    <w:rsid w:val="74824798"/>
    <w:rsid w:val="74B50931"/>
    <w:rsid w:val="74BE1A94"/>
    <w:rsid w:val="74EE0377"/>
    <w:rsid w:val="74F75BF1"/>
    <w:rsid w:val="7502185A"/>
    <w:rsid w:val="75093403"/>
    <w:rsid w:val="751F5A9C"/>
    <w:rsid w:val="7553092D"/>
    <w:rsid w:val="755B7EA8"/>
    <w:rsid w:val="7595642F"/>
    <w:rsid w:val="75CB4DB8"/>
    <w:rsid w:val="75D02172"/>
    <w:rsid w:val="76075D1D"/>
    <w:rsid w:val="763F7F9F"/>
    <w:rsid w:val="76495049"/>
    <w:rsid w:val="769F52A1"/>
    <w:rsid w:val="76EE55AC"/>
    <w:rsid w:val="76F220C7"/>
    <w:rsid w:val="76F80E50"/>
    <w:rsid w:val="76F8372F"/>
    <w:rsid w:val="772671D2"/>
    <w:rsid w:val="77405661"/>
    <w:rsid w:val="77440E21"/>
    <w:rsid w:val="779F79D2"/>
    <w:rsid w:val="77A72190"/>
    <w:rsid w:val="77AE4C12"/>
    <w:rsid w:val="77E617D9"/>
    <w:rsid w:val="780659D7"/>
    <w:rsid w:val="78121F2E"/>
    <w:rsid w:val="78344EE6"/>
    <w:rsid w:val="783A61D4"/>
    <w:rsid w:val="783E3E8E"/>
    <w:rsid w:val="7844255D"/>
    <w:rsid w:val="78444A87"/>
    <w:rsid w:val="784721A0"/>
    <w:rsid w:val="7885742D"/>
    <w:rsid w:val="78972FCD"/>
    <w:rsid w:val="78B54A54"/>
    <w:rsid w:val="78D90277"/>
    <w:rsid w:val="78F66B43"/>
    <w:rsid w:val="7907149F"/>
    <w:rsid w:val="791B1956"/>
    <w:rsid w:val="792E5ADB"/>
    <w:rsid w:val="793934B9"/>
    <w:rsid w:val="793A736F"/>
    <w:rsid w:val="795A6E1D"/>
    <w:rsid w:val="795B7FA5"/>
    <w:rsid w:val="79630533"/>
    <w:rsid w:val="7972680A"/>
    <w:rsid w:val="799A287B"/>
    <w:rsid w:val="79B35723"/>
    <w:rsid w:val="79BC53BA"/>
    <w:rsid w:val="79D0629D"/>
    <w:rsid w:val="7A030083"/>
    <w:rsid w:val="7A435623"/>
    <w:rsid w:val="7A5A4664"/>
    <w:rsid w:val="7A990E28"/>
    <w:rsid w:val="7A9A1B90"/>
    <w:rsid w:val="7AF00FBF"/>
    <w:rsid w:val="7B0D6371"/>
    <w:rsid w:val="7B154FAE"/>
    <w:rsid w:val="7B2067AE"/>
    <w:rsid w:val="7B425546"/>
    <w:rsid w:val="7B5E2D46"/>
    <w:rsid w:val="7B62387C"/>
    <w:rsid w:val="7B631AB3"/>
    <w:rsid w:val="7B715A61"/>
    <w:rsid w:val="7B7C01F3"/>
    <w:rsid w:val="7B8E0777"/>
    <w:rsid w:val="7B9A1458"/>
    <w:rsid w:val="7BB0072A"/>
    <w:rsid w:val="7BC71E77"/>
    <w:rsid w:val="7BF662EE"/>
    <w:rsid w:val="7BF7021D"/>
    <w:rsid w:val="7C536936"/>
    <w:rsid w:val="7C585E3C"/>
    <w:rsid w:val="7C5A08E1"/>
    <w:rsid w:val="7C816FEB"/>
    <w:rsid w:val="7CE945FD"/>
    <w:rsid w:val="7CF01E50"/>
    <w:rsid w:val="7D254BDC"/>
    <w:rsid w:val="7D2D083F"/>
    <w:rsid w:val="7D697134"/>
    <w:rsid w:val="7D703797"/>
    <w:rsid w:val="7D783084"/>
    <w:rsid w:val="7D802152"/>
    <w:rsid w:val="7D90280C"/>
    <w:rsid w:val="7DD11077"/>
    <w:rsid w:val="7DF7205D"/>
    <w:rsid w:val="7E327526"/>
    <w:rsid w:val="7E597CD7"/>
    <w:rsid w:val="7E5A355A"/>
    <w:rsid w:val="7EB0558F"/>
    <w:rsid w:val="7EF62377"/>
    <w:rsid w:val="7EF96EB6"/>
    <w:rsid w:val="7EFF54A2"/>
    <w:rsid w:val="7F0A2079"/>
    <w:rsid w:val="7F114670"/>
    <w:rsid w:val="7F1B49D7"/>
    <w:rsid w:val="7F3D15CE"/>
    <w:rsid w:val="7F4A43D7"/>
    <w:rsid w:val="7F972973"/>
    <w:rsid w:val="7FA6487B"/>
    <w:rsid w:val="7FBA00B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qFormat="1" w:uiPriority="0" w:name="HTML Cite"/>
    <w:lsdException w:uiPriority="0" w:name="HTML Code"/>
    <w:lsdException w:qFormat="1" w:uiPriority="0" w:name="HTML Definition"/>
    <w:lsdException w:qFormat="1"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paragraph" w:styleId="6">
    <w:name w:val="heading 2"/>
    <w:basedOn w:val="1"/>
    <w:next w:val="7"/>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8">
    <w:name w:val="heading 3"/>
    <w:basedOn w:val="1"/>
    <w:next w:val="7"/>
    <w:link w:val="6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firstLine="490" w:firstLineChars="175"/>
      <w:jc w:val="left"/>
    </w:pPr>
  </w:style>
  <w:style w:type="paragraph" w:styleId="3">
    <w:name w:val="Body Text Indent"/>
    <w:basedOn w:val="1"/>
    <w:next w:val="4"/>
    <w:link w:val="47"/>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Normal Indent"/>
    <w:basedOn w:val="1"/>
    <w:link w:val="48"/>
    <w:qFormat/>
    <w:uiPriority w:val="0"/>
    <w:pPr>
      <w:autoSpaceDE w:val="0"/>
      <w:autoSpaceDN w:val="0"/>
      <w:adjustRightInd w:val="0"/>
      <w:ind w:firstLine="420"/>
      <w:jc w:val="left"/>
    </w:pPr>
    <w:rPr>
      <w:rFonts w:ascii="宋体"/>
      <w:kern w:val="0"/>
      <w:sz w:val="24"/>
      <w:szCs w:val="20"/>
    </w:rPr>
  </w:style>
  <w:style w:type="paragraph" w:styleId="9">
    <w:name w:val="Document Map"/>
    <w:basedOn w:val="1"/>
    <w:link w:val="40"/>
    <w:qFormat/>
    <w:uiPriority w:val="0"/>
    <w:rPr>
      <w:rFonts w:ascii="宋体"/>
      <w:sz w:val="18"/>
      <w:szCs w:val="18"/>
    </w:rPr>
  </w:style>
  <w:style w:type="paragraph" w:styleId="10">
    <w:name w:val="annotation text"/>
    <w:basedOn w:val="1"/>
    <w:link w:val="41"/>
    <w:qFormat/>
    <w:uiPriority w:val="99"/>
    <w:pPr>
      <w:jc w:val="left"/>
    </w:pPr>
    <w:rPr>
      <w:rFonts w:ascii="仿宋_GB2312" w:eastAsia="仿宋_GB2312"/>
      <w:sz w:val="32"/>
      <w:szCs w:val="32"/>
    </w:rPr>
  </w:style>
  <w:style w:type="paragraph" w:styleId="11">
    <w:name w:val="Body Text"/>
    <w:basedOn w:val="1"/>
    <w:qFormat/>
    <w:uiPriority w:val="0"/>
    <w:pPr>
      <w:tabs>
        <w:tab w:val="left" w:pos="567"/>
      </w:tabs>
      <w:spacing w:before="120" w:line="22" w:lineRule="atLeast"/>
    </w:pPr>
    <w:rPr>
      <w:rFonts w:ascii="宋体" w:hAnsi="宋体"/>
      <w:sz w:val="24"/>
    </w:rPr>
  </w:style>
  <w:style w:type="paragraph" w:styleId="12">
    <w:name w:val="toc 3"/>
    <w:basedOn w:val="1"/>
    <w:next w:val="1"/>
    <w:link w:val="44"/>
    <w:qFormat/>
    <w:uiPriority w:val="39"/>
    <w:pPr>
      <w:spacing w:line="500" w:lineRule="exact"/>
      <w:ind w:left="400" w:leftChars="400"/>
    </w:pPr>
    <w:rPr>
      <w:kern w:val="0"/>
      <w:sz w:val="24"/>
      <w:szCs w:val="20"/>
    </w:rPr>
  </w:style>
  <w:style w:type="paragraph" w:styleId="13">
    <w:name w:val="Plain Text"/>
    <w:basedOn w:val="1"/>
    <w:link w:val="45"/>
    <w:qFormat/>
    <w:uiPriority w:val="0"/>
    <w:rPr>
      <w:rFonts w:ascii="宋体" w:hAnsi="Courier New"/>
      <w:szCs w:val="20"/>
    </w:rPr>
  </w:style>
  <w:style w:type="paragraph" w:styleId="14">
    <w:name w:val="Date"/>
    <w:basedOn w:val="1"/>
    <w:next w:val="1"/>
    <w:link w:val="49"/>
    <w:qFormat/>
    <w:uiPriority w:val="0"/>
    <w:pPr>
      <w:ind w:left="100" w:leftChars="2500"/>
    </w:pPr>
  </w:style>
  <w:style w:type="paragraph" w:styleId="15">
    <w:name w:val="Body Text Indent 2"/>
    <w:basedOn w:val="1"/>
    <w:qFormat/>
    <w:uiPriority w:val="0"/>
    <w:pPr>
      <w:spacing w:after="12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link w:val="46"/>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left" w:pos="1260"/>
        <w:tab w:val="right" w:leader="dot" w:pos="9060"/>
      </w:tabs>
      <w:spacing w:line="500" w:lineRule="exact"/>
    </w:pPr>
    <w:rPr>
      <w:sz w:val="24"/>
    </w:rPr>
  </w:style>
  <w:style w:type="paragraph" w:styleId="20">
    <w:name w:val="toc 2"/>
    <w:basedOn w:val="1"/>
    <w:next w:val="1"/>
    <w:qFormat/>
    <w:uiPriority w:val="39"/>
    <w:pPr>
      <w:spacing w:line="500" w:lineRule="exact"/>
      <w:ind w:left="200" w:leftChars="200"/>
    </w:pPr>
    <w:rPr>
      <w:sz w:val="24"/>
    </w:rPr>
  </w:style>
  <w:style w:type="paragraph" w:styleId="21">
    <w:name w:val="Normal (Web)"/>
    <w:basedOn w:val="1"/>
    <w:semiHidden/>
    <w:unhideWhenUsed/>
    <w:qFormat/>
    <w:uiPriority w:val="0"/>
    <w:rPr>
      <w:sz w:val="24"/>
    </w:rPr>
  </w:style>
  <w:style w:type="paragraph" w:styleId="22">
    <w:name w:val="index 1"/>
    <w:basedOn w:val="1"/>
    <w:next w:val="1"/>
    <w:semiHidden/>
    <w:qFormat/>
    <w:uiPriority w:val="0"/>
    <w:rPr>
      <w:szCs w:val="20"/>
    </w:rPr>
  </w:style>
  <w:style w:type="paragraph" w:styleId="23">
    <w:name w:val="annotation subject"/>
    <w:basedOn w:val="10"/>
    <w:next w:val="10"/>
    <w:semiHidden/>
    <w:qFormat/>
    <w:uiPriority w:val="0"/>
    <w:rPr>
      <w:rFonts w:ascii="Times New Roman" w:eastAsia="宋体"/>
      <w:b/>
      <w:bCs/>
      <w:sz w:val="21"/>
      <w:szCs w:val="24"/>
    </w:rPr>
  </w:style>
  <w:style w:type="paragraph" w:styleId="24">
    <w:name w:val="Body Text First Indent 2"/>
    <w:basedOn w:val="3"/>
    <w:next w:val="1"/>
    <w:qFormat/>
    <w:uiPriority w:val="0"/>
    <w:pPr>
      <w:ind w:firstLine="420" w:firstLineChars="200"/>
    </w:pPr>
  </w:style>
  <w:style w:type="character" w:styleId="27">
    <w:name w:val="Strong"/>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u w:val="none"/>
    </w:rPr>
  </w:style>
  <w:style w:type="character" w:styleId="30">
    <w:name w:val="HTML Definition"/>
    <w:basedOn w:val="26"/>
    <w:semiHidden/>
    <w:unhideWhenUsed/>
    <w:qFormat/>
    <w:uiPriority w:val="0"/>
  </w:style>
  <w:style w:type="character" w:styleId="31">
    <w:name w:val="HTML Typewriter"/>
    <w:basedOn w:val="26"/>
    <w:semiHidden/>
    <w:unhideWhenUsed/>
    <w:uiPriority w:val="0"/>
    <w:rPr>
      <w:rFonts w:hint="default" w:ascii="monospace" w:hAnsi="monospace" w:eastAsia="monospace" w:cs="monospace"/>
      <w:sz w:val="20"/>
    </w:rPr>
  </w:style>
  <w:style w:type="character" w:styleId="32">
    <w:name w:val="HTML Acronym"/>
    <w:basedOn w:val="26"/>
    <w:semiHidden/>
    <w:unhideWhenUsed/>
    <w:uiPriority w:val="0"/>
  </w:style>
  <w:style w:type="character" w:styleId="33">
    <w:name w:val="HTML Variable"/>
    <w:basedOn w:val="26"/>
    <w:semiHidden/>
    <w:unhideWhenUsed/>
    <w:uiPriority w:val="0"/>
  </w:style>
  <w:style w:type="character" w:styleId="34">
    <w:name w:val="Hyperlink"/>
    <w:basedOn w:val="26"/>
    <w:qFormat/>
    <w:uiPriority w:val="99"/>
    <w:rPr>
      <w:color w:val="0000FF"/>
      <w:u w:val="none"/>
    </w:rPr>
  </w:style>
  <w:style w:type="character" w:styleId="35">
    <w:name w:val="HTML Code"/>
    <w:basedOn w:val="26"/>
    <w:semiHidden/>
    <w:unhideWhenUsed/>
    <w:uiPriority w:val="0"/>
    <w:rPr>
      <w:rFonts w:ascii="monospace" w:hAnsi="monospace" w:eastAsia="monospace" w:cs="monospace"/>
      <w:sz w:val="20"/>
    </w:rPr>
  </w:style>
  <w:style w:type="character" w:styleId="36">
    <w:name w:val="annotation reference"/>
    <w:semiHidden/>
    <w:qFormat/>
    <w:uiPriority w:val="99"/>
    <w:rPr>
      <w:sz w:val="21"/>
      <w:szCs w:val="21"/>
    </w:rPr>
  </w:style>
  <w:style w:type="character" w:styleId="37">
    <w:name w:val="HTML Cite"/>
    <w:basedOn w:val="26"/>
    <w:semiHidden/>
    <w:unhideWhenUsed/>
    <w:qFormat/>
    <w:uiPriority w:val="0"/>
  </w:style>
  <w:style w:type="character" w:styleId="38">
    <w:name w:val="HTML Keyboard"/>
    <w:basedOn w:val="26"/>
    <w:semiHidden/>
    <w:unhideWhenUsed/>
    <w:qFormat/>
    <w:uiPriority w:val="0"/>
    <w:rPr>
      <w:rFonts w:hint="default" w:ascii="monospace" w:hAnsi="monospace" w:eastAsia="monospace" w:cs="monospace"/>
      <w:sz w:val="20"/>
    </w:rPr>
  </w:style>
  <w:style w:type="character" w:styleId="39">
    <w:name w:val="HTML Sample"/>
    <w:basedOn w:val="26"/>
    <w:semiHidden/>
    <w:unhideWhenUsed/>
    <w:uiPriority w:val="0"/>
    <w:rPr>
      <w:rFonts w:hint="default" w:ascii="monospace" w:hAnsi="monospace" w:eastAsia="monospace" w:cs="monospace"/>
    </w:rPr>
  </w:style>
  <w:style w:type="character" w:customStyle="1" w:styleId="40">
    <w:name w:val="文档结构图 字符"/>
    <w:link w:val="9"/>
    <w:qFormat/>
    <w:uiPriority w:val="0"/>
    <w:rPr>
      <w:rFonts w:ascii="宋体" w:eastAsia="宋体"/>
      <w:kern w:val="2"/>
      <w:sz w:val="18"/>
      <w:szCs w:val="18"/>
      <w:lang w:val="en-US" w:eastAsia="zh-CN" w:bidi="ar-SA"/>
    </w:rPr>
  </w:style>
  <w:style w:type="character" w:customStyle="1" w:styleId="41">
    <w:name w:val="批注文字 字符"/>
    <w:link w:val="10"/>
    <w:qFormat/>
    <w:uiPriority w:val="99"/>
    <w:rPr>
      <w:rFonts w:ascii="仿宋_GB2312" w:eastAsia="仿宋_GB2312"/>
      <w:kern w:val="2"/>
      <w:sz w:val="32"/>
      <w:szCs w:val="32"/>
    </w:rPr>
  </w:style>
  <w:style w:type="character" w:customStyle="1" w:styleId="42">
    <w:name w:val="样式（正文） Char"/>
    <w:link w:val="43"/>
    <w:qFormat/>
    <w:locked/>
    <w:uiPriority w:val="0"/>
    <w:rPr>
      <w:rFonts w:ascii="宋体" w:hAnsi="宋体" w:eastAsia="宋体"/>
      <w:kern w:val="2"/>
      <w:sz w:val="24"/>
      <w:szCs w:val="22"/>
      <w:lang w:bidi="ar-SA"/>
    </w:rPr>
  </w:style>
  <w:style w:type="paragraph" w:customStyle="1" w:styleId="43">
    <w:name w:val="样式（正文）"/>
    <w:basedOn w:val="1"/>
    <w:link w:val="42"/>
    <w:qFormat/>
    <w:uiPriority w:val="0"/>
    <w:pPr>
      <w:spacing w:line="360" w:lineRule="auto"/>
      <w:ind w:firstLine="200" w:firstLineChars="200"/>
    </w:pPr>
    <w:rPr>
      <w:rFonts w:ascii="宋体" w:hAnsi="宋体"/>
      <w:sz w:val="24"/>
      <w:szCs w:val="22"/>
    </w:rPr>
  </w:style>
  <w:style w:type="character" w:customStyle="1" w:styleId="44">
    <w:name w:val="目录 3 字符"/>
    <w:link w:val="12"/>
    <w:qFormat/>
    <w:uiPriority w:val="39"/>
    <w:rPr>
      <w:sz w:val="24"/>
    </w:rPr>
  </w:style>
  <w:style w:type="character" w:customStyle="1" w:styleId="45">
    <w:name w:val="纯文本 字符"/>
    <w:link w:val="13"/>
    <w:qFormat/>
    <w:uiPriority w:val="0"/>
    <w:rPr>
      <w:rFonts w:ascii="宋体" w:hAnsi="Courier New"/>
      <w:kern w:val="2"/>
      <w:sz w:val="21"/>
    </w:rPr>
  </w:style>
  <w:style w:type="character" w:customStyle="1" w:styleId="46">
    <w:name w:val="页脚 字符"/>
    <w:basedOn w:val="26"/>
    <w:link w:val="17"/>
    <w:qFormat/>
    <w:uiPriority w:val="99"/>
    <w:rPr>
      <w:kern w:val="2"/>
      <w:sz w:val="18"/>
      <w:szCs w:val="18"/>
    </w:rPr>
  </w:style>
  <w:style w:type="character" w:customStyle="1" w:styleId="47">
    <w:name w:val="正文文本缩进 字符"/>
    <w:link w:val="3"/>
    <w:qFormat/>
    <w:uiPriority w:val="0"/>
  </w:style>
  <w:style w:type="character" w:customStyle="1" w:styleId="48">
    <w:name w:val="正文缩进 字符"/>
    <w:link w:val="7"/>
    <w:qFormat/>
    <w:uiPriority w:val="0"/>
    <w:rPr>
      <w:rFonts w:ascii="宋体" w:eastAsia="宋体"/>
      <w:sz w:val="24"/>
      <w:lang w:val="en-US" w:eastAsia="zh-CN" w:bidi="ar-SA"/>
    </w:rPr>
  </w:style>
  <w:style w:type="character" w:customStyle="1" w:styleId="49">
    <w:name w:val="日期 字符"/>
    <w:basedOn w:val="26"/>
    <w:link w:val="14"/>
    <w:qFormat/>
    <w:uiPriority w:val="0"/>
    <w:rPr>
      <w:kern w:val="2"/>
      <w:sz w:val="21"/>
      <w:szCs w:val="24"/>
    </w:rPr>
  </w:style>
  <w:style w:type="paragraph" w:customStyle="1" w:styleId="50">
    <w:name w:val="Char Char1"/>
    <w:basedOn w:val="1"/>
    <w:qFormat/>
    <w:uiPriority w:val="0"/>
  </w:style>
  <w:style w:type="paragraph" w:customStyle="1" w:styleId="51">
    <w:name w:val="p0"/>
    <w:basedOn w:val="1"/>
    <w:qFormat/>
    <w:uiPriority w:val="0"/>
    <w:pPr>
      <w:widowControl/>
      <w:snapToGrid w:val="0"/>
      <w:spacing w:after="200"/>
      <w:jc w:val="left"/>
    </w:pPr>
    <w:rPr>
      <w:rFonts w:ascii="Tahoma" w:hAnsi="Tahoma" w:cs="Tahoma"/>
      <w:kern w:val="0"/>
      <w:sz w:val="22"/>
      <w:szCs w:val="22"/>
    </w:rPr>
  </w:style>
  <w:style w:type="paragraph" w:customStyle="1" w:styleId="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
    <w:name w:val="Char1"/>
    <w:basedOn w:val="1"/>
    <w:qFormat/>
    <w:uiPriority w:val="0"/>
    <w:rPr>
      <w:rFonts w:ascii="Tahoma" w:hAnsi="Tahoma"/>
      <w:sz w:val="24"/>
      <w:szCs w:val="20"/>
    </w:rPr>
  </w:style>
  <w:style w:type="paragraph" w:customStyle="1" w:styleId="54">
    <w:name w:val="Char"/>
    <w:basedOn w:val="1"/>
    <w:qFormat/>
    <w:uiPriority w:val="0"/>
    <w:pPr>
      <w:tabs>
        <w:tab w:val="left" w:pos="432"/>
      </w:tabs>
      <w:spacing w:beforeLines="50" w:afterLines="50"/>
      <w:ind w:left="864" w:hanging="432"/>
    </w:pPr>
    <w:rPr>
      <w:sz w:val="24"/>
    </w:rPr>
  </w:style>
  <w:style w:type="paragraph" w:customStyle="1" w:styleId="55">
    <w:name w:val="样式 标题 2 + 段后: 156 磅"/>
    <w:basedOn w:val="6"/>
    <w:qFormat/>
    <w:uiPriority w:val="0"/>
    <w:pPr>
      <w:spacing w:before="100" w:after="100" w:line="240" w:lineRule="auto"/>
    </w:pPr>
    <w:rPr>
      <w:rFonts w:cs="宋体"/>
      <w:bCs/>
      <w:sz w:val="30"/>
    </w:rPr>
  </w:style>
  <w:style w:type="paragraph" w:customStyle="1" w:styleId="56">
    <w:name w:val="Char Char11"/>
    <w:basedOn w:val="1"/>
    <w:qFormat/>
    <w:uiPriority w:val="0"/>
    <w:rPr>
      <w:szCs w:val="20"/>
    </w:rPr>
  </w:style>
  <w:style w:type="paragraph" w:customStyle="1" w:styleId="57">
    <w:name w:val="样式1"/>
    <w:basedOn w:val="8"/>
    <w:qFormat/>
    <w:uiPriority w:val="0"/>
    <w:pPr>
      <w:jc w:val="center"/>
    </w:pPr>
  </w:style>
  <w:style w:type="paragraph" w:customStyle="1" w:styleId="58">
    <w:name w:val="列出段落1"/>
    <w:basedOn w:val="1"/>
    <w:qFormat/>
    <w:uiPriority w:val="34"/>
    <w:pPr>
      <w:ind w:firstLine="420" w:firstLineChars="200"/>
    </w:pPr>
    <w:rPr>
      <w:rFonts w:ascii="Calibri" w:hAnsi="Calibri"/>
      <w:szCs w:val="22"/>
    </w:rPr>
  </w:style>
  <w:style w:type="paragraph" w:customStyle="1" w:styleId="59">
    <w:name w:val="Char11"/>
    <w:basedOn w:val="1"/>
    <w:qFormat/>
    <w:uiPriority w:val="0"/>
    <w:rPr>
      <w:rFonts w:ascii="Tahoma" w:hAnsi="Tahoma"/>
      <w:sz w:val="24"/>
      <w:szCs w:val="20"/>
    </w:rPr>
  </w:style>
  <w:style w:type="paragraph" w:customStyle="1" w:styleId="60">
    <w:name w:val="Char2"/>
    <w:basedOn w:val="1"/>
    <w:next w:val="1"/>
    <w:qFormat/>
    <w:uiPriority w:val="0"/>
    <w:pPr>
      <w:widowControl/>
      <w:spacing w:line="360" w:lineRule="auto"/>
      <w:jc w:val="left"/>
    </w:pPr>
    <w:rPr>
      <w:kern w:val="0"/>
      <w:szCs w:val="20"/>
      <w:lang w:eastAsia="en-US"/>
    </w:rPr>
  </w:style>
  <w:style w:type="paragraph" w:customStyle="1" w:styleId="61">
    <w:name w:val="表文"/>
    <w:basedOn w:val="1"/>
    <w:qFormat/>
    <w:uiPriority w:val="0"/>
    <w:rPr>
      <w:rFonts w:ascii="宋体" w:hAnsi="宋体" w:cs="宋体"/>
      <w:color w:val="000000"/>
      <w:kern w:val="0"/>
      <w:szCs w:val="21"/>
    </w:rPr>
  </w:style>
  <w:style w:type="paragraph" w:customStyle="1" w:styleId="6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批注文字 Char1"/>
    <w:basedOn w:val="26"/>
    <w:semiHidden/>
    <w:qFormat/>
    <w:uiPriority w:val="99"/>
    <w:rPr>
      <w:rFonts w:ascii="Times New Roman" w:hAnsi="Times New Roman" w:eastAsia="宋体" w:cs="Times New Roman"/>
      <w:szCs w:val="24"/>
    </w:rPr>
  </w:style>
  <w:style w:type="paragraph" w:styleId="64">
    <w:name w:val="List Paragraph"/>
    <w:basedOn w:val="1"/>
    <w:qFormat/>
    <w:uiPriority w:val="99"/>
    <w:pPr>
      <w:ind w:firstLine="420" w:firstLineChars="200"/>
    </w:pPr>
  </w:style>
  <w:style w:type="character" w:customStyle="1" w:styleId="65">
    <w:name w:val="标题 3 字符"/>
    <w:basedOn w:val="26"/>
    <w:link w:val="8"/>
    <w:qFormat/>
    <w:uiPriority w:val="0"/>
    <w:rPr>
      <w:rFonts w:ascii="宋体"/>
      <w:b/>
      <w:sz w:val="24"/>
    </w:rPr>
  </w:style>
  <w:style w:type="character" w:customStyle="1" w:styleId="66">
    <w:name w:val="last-child"/>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A31C8C-C422-4767-8D7D-2ADD0ED2256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15310</Words>
  <Characters>16397</Characters>
  <Lines>195</Lines>
  <Paragraphs>55</Paragraphs>
  <TotalTime>5</TotalTime>
  <ScaleCrop>false</ScaleCrop>
  <LinksUpToDate>false</LinksUpToDate>
  <CharactersWithSpaces>19237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杨洋</cp:lastModifiedBy>
  <cp:lastPrinted>2020-09-11T03:30:00Z</cp:lastPrinted>
  <dcterms:modified xsi:type="dcterms:W3CDTF">2022-06-22T07:20:53Z</dcterms:modified>
  <dc:title>招标文件</dc:title>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CA5B5946109846678E06ED5D7CA945E2</vt:lpwstr>
  </property>
</Properties>
</file>