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ind w:leftChars="0" w:firstLine="2891" w:firstLineChars="900"/>
        <w:jc w:val="both"/>
        <w:rPr>
          <w:rFonts w:hint="eastAsia" w:ascii="宋体" w:hAnsi="宋体" w:cs="宋体"/>
          <w:color w:val="000000"/>
        </w:rPr>
      </w:pPr>
      <w:bookmarkStart w:id="2" w:name="_GoBack"/>
      <w:bookmarkEnd w:id="2"/>
      <w:bookmarkStart w:id="0" w:name="_Toc4221"/>
      <w:r>
        <w:rPr>
          <w:rFonts w:hint="eastAsia" w:ascii="宋体" w:hAnsi="宋体" w:cs="宋体"/>
          <w:color w:val="000000"/>
        </w:rPr>
        <w:t>服务需求及技术要求</w:t>
      </w:r>
      <w:bookmarkEnd w:id="0"/>
    </w:p>
    <w:p>
      <w:pPr>
        <w:pStyle w:val="6"/>
        <w:wordWrap/>
        <w:ind w:firstLine="482" w:firstLineChars="200"/>
        <w:rPr>
          <w:rFonts w:hAnsi="宋体" w:cs="宋体"/>
          <w:color w:val="000000"/>
          <w:szCs w:val="24"/>
        </w:rPr>
      </w:pPr>
      <w:bookmarkStart w:id="1" w:name="_Toc32522"/>
      <w:r>
        <w:rPr>
          <w:rFonts w:hint="eastAsia" w:hAnsi="宋体" w:cs="宋体"/>
          <w:color w:val="000000"/>
          <w:szCs w:val="24"/>
        </w:rPr>
        <w:t>一、服务需求</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1、防治对象：</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苍蝇、蚊子、老鼠、蟑螂、蚂蚁、跳蚤、蛇、爬虫等所有病虫鼠害。</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2、服务区域范围：</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安庆博物馆（安徽中国黄梅戏博物馆）坐落于安庆市经开区潜江路8号，安庆市革命文物陈列馆位于安庆市区菱湖南路102号，共两个馆区，其中：</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安庆博物馆（安徽中国黄梅戏博物馆），主体建筑地上三层（局部四层），地下一层，建筑高度约24米，总建筑面积40034.55平方米，展陈面积11368平方米。服务范围：建筑物的室内地上、地下区域展厅、接待室、报告厅、库区、办公区等以及建筑物外广场、绿化及环境，包含道路、绿化带、喷泉、管道井、配电房、污水处理站及地下室等所有区域；</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安庆市革命文物陈列馆，前后三进庭院式仿古建筑，占地面积9067平方米，建筑面积2500平方米，展厅面积1800平方米。服务范围：建筑物内展厅、办公室、储藏室、库房、会议室、工作室、庭院内区域等，以及馆包含道路、绿化带等所有区域。</w:t>
      </w:r>
    </w:p>
    <w:p>
      <w:pPr>
        <w:pStyle w:val="2"/>
        <w:numPr>
          <w:ilvl w:val="0"/>
          <w:numId w:val="1"/>
        </w:numPr>
        <w:ind w:left="0" w:leftChars="0" w:firstLine="0" w:firstLineChars="0"/>
        <w:rPr>
          <w:rFonts w:hint="eastAsia"/>
          <w:color w:val="000000"/>
        </w:rPr>
      </w:pPr>
      <w:r>
        <w:rPr>
          <w:rFonts w:hint="eastAsia" w:ascii="宋体" w:hAnsi="宋体" w:cs="宋体"/>
          <w:color w:val="000000"/>
        </w:rPr>
        <w:t>服务内容</w:t>
      </w:r>
    </w:p>
    <w:tbl>
      <w:tblPr>
        <w:tblStyle w:val="7"/>
        <w:tblW w:w="8884" w:type="dxa"/>
        <w:tblInd w:w="176" w:type="dxa"/>
        <w:tblLayout w:type="fixed"/>
        <w:tblCellMar>
          <w:top w:w="0" w:type="dxa"/>
          <w:left w:w="108" w:type="dxa"/>
          <w:bottom w:w="0" w:type="dxa"/>
          <w:right w:w="108" w:type="dxa"/>
        </w:tblCellMar>
      </w:tblPr>
      <w:tblGrid>
        <w:gridCol w:w="484"/>
        <w:gridCol w:w="1025"/>
        <w:gridCol w:w="2000"/>
        <w:gridCol w:w="1967"/>
        <w:gridCol w:w="1966"/>
        <w:gridCol w:w="1442"/>
      </w:tblGrid>
      <w:tr>
        <w:tblPrEx>
          <w:tblCellMar>
            <w:top w:w="0" w:type="dxa"/>
            <w:left w:w="108" w:type="dxa"/>
            <w:bottom w:w="0" w:type="dxa"/>
            <w:right w:w="108" w:type="dxa"/>
          </w:tblCellMar>
        </w:tblPrEx>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防治对象</w:t>
            </w:r>
          </w:p>
        </w:tc>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防治频次</w:t>
            </w:r>
          </w:p>
        </w:tc>
        <w:tc>
          <w:tcPr>
            <w:tcW w:w="19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防治方式</w:t>
            </w:r>
          </w:p>
        </w:tc>
        <w:tc>
          <w:tcPr>
            <w:tcW w:w="19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防治要求</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970"/>
                <w:tab w:val="center" w:pos="2550"/>
              </w:tabs>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防治效果</w:t>
            </w:r>
          </w:p>
        </w:tc>
      </w:tr>
      <w:tr>
        <w:tblPrEx>
          <w:tblCellMar>
            <w:top w:w="0" w:type="dxa"/>
            <w:left w:w="108" w:type="dxa"/>
            <w:bottom w:w="0" w:type="dxa"/>
            <w:right w:w="108" w:type="dxa"/>
          </w:tblCellMar>
        </w:tblPrEx>
        <w:trPr>
          <w:trHeight w:val="1898"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苍蝇</w:t>
            </w:r>
          </w:p>
        </w:tc>
        <w:tc>
          <w:tcPr>
            <w:tcW w:w="20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
              </w:numPr>
              <w:jc w:val="left"/>
              <w:textAlignment w:val="center"/>
              <w:rPr>
                <w:rFonts w:hint="eastAsia" w:ascii="宋体" w:hAnsi="宋体" w:cs="宋体"/>
                <w:color w:val="000000"/>
                <w:szCs w:val="21"/>
              </w:rPr>
            </w:pPr>
            <w:r>
              <w:rPr>
                <w:rFonts w:hint="eastAsia" w:ascii="宋体" w:hAnsi="宋体" w:cs="宋体"/>
                <w:color w:val="000000"/>
                <w:szCs w:val="21"/>
              </w:rPr>
              <w:t>每年集中处理一次；</w:t>
            </w:r>
          </w:p>
          <w:p>
            <w:pPr>
              <w:pStyle w:val="2"/>
              <w:numPr>
                <w:ilvl w:val="0"/>
                <w:numId w:val="2"/>
              </w:numPr>
              <w:ind w:left="0" w:leftChars="0" w:firstLine="0" w:firstLineChars="0"/>
              <w:rPr>
                <w:color w:val="000000"/>
              </w:rPr>
            </w:pPr>
            <w:r>
              <w:rPr>
                <w:rFonts w:hint="eastAsia" w:ascii="宋体" w:hAnsi="宋体" w:cs="宋体"/>
                <w:color w:val="000000"/>
              </w:rPr>
              <w:t>如采购人应现场防治要求需临时增加消杀区域和次数，成交方需无条件满足；</w:t>
            </w:r>
          </w:p>
          <w:p>
            <w:pPr>
              <w:pStyle w:val="2"/>
              <w:ind w:left="0" w:leftChars="0" w:firstLine="0" w:firstLineChars="0"/>
              <w:rPr>
                <w:color w:val="000000"/>
              </w:rPr>
            </w:pPr>
            <w:r>
              <w:rPr>
                <w:rFonts w:hint="eastAsia" w:ascii="宋体" w:hAnsi="宋体" w:cs="宋体"/>
                <w:color w:val="000000"/>
              </w:rPr>
              <w:t>3、增加的次数不含在每年集中处理次数内，不额外支付任何费用</w:t>
            </w:r>
          </w:p>
        </w:tc>
        <w:tc>
          <w:tcPr>
            <w:tcW w:w="19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规范使用药物方法对蚊蝇进行捕杀</w:t>
            </w:r>
          </w:p>
          <w:p>
            <w:pPr>
              <w:widowControl/>
              <w:numPr>
                <w:ilvl w:val="0"/>
                <w:numId w:val="3"/>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根据博物馆布局情况规范布置捕蝇网、粘绳板，定期维护，保证达到现场防治要求</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高效、安全、低毒或无毒类环保产品</w:t>
            </w:r>
          </w:p>
        </w:tc>
        <w:tc>
          <w:tcPr>
            <w:tcW w:w="1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p>
          <w:p>
            <w:pPr>
              <w:widowControl/>
              <w:jc w:val="left"/>
              <w:textAlignment w:val="center"/>
              <w:rPr>
                <w:rFonts w:hint="eastAsia" w:ascii="宋体" w:hAnsi="宋体" w:cs="宋体"/>
                <w:color w:val="000000"/>
                <w:szCs w:val="21"/>
              </w:rPr>
            </w:pPr>
          </w:p>
          <w:p>
            <w:pPr>
              <w:widowControl/>
              <w:jc w:val="left"/>
              <w:textAlignment w:val="center"/>
              <w:rPr>
                <w:rFonts w:hint="eastAsia" w:ascii="宋体" w:hAnsi="宋体" w:cs="宋体"/>
                <w:color w:val="000000"/>
                <w:szCs w:val="21"/>
              </w:rPr>
            </w:pPr>
          </w:p>
          <w:p>
            <w:pPr>
              <w:widowControl/>
              <w:jc w:val="left"/>
              <w:textAlignment w:val="center"/>
              <w:rPr>
                <w:rFonts w:hint="eastAsia" w:ascii="宋体" w:hAnsi="宋体" w:cs="宋体"/>
                <w:color w:val="000000"/>
                <w:szCs w:val="21"/>
              </w:rPr>
            </w:pPr>
          </w:p>
          <w:p>
            <w:pPr>
              <w:widowControl/>
              <w:numPr>
                <w:ilvl w:val="0"/>
                <w:numId w:val="4"/>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以《全国病媒生物监测方案》、《安徽省防控病媒生物管理办法》以及各博物馆各区域消杀满意度为防治效果合格标准，并确保各级各类检查中此项内容合格</w:t>
            </w:r>
          </w:p>
          <w:p>
            <w:pPr>
              <w:widowControl/>
              <w:numPr>
                <w:ilvl w:val="0"/>
                <w:numId w:val="4"/>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有害生物密度标准：</w:t>
            </w:r>
            <w:r>
              <w:rPr>
                <w:rFonts w:hint="eastAsia"/>
                <w:color w:val="000000"/>
                <w:szCs w:val="21"/>
              </w:rPr>
              <w:t>苍蝇密度</w:t>
            </w:r>
            <w:r>
              <w:rPr>
                <w:rFonts w:hint="eastAsia" w:ascii="宋体" w:hAnsi="宋体" w:cs="宋体"/>
                <w:color w:val="000000"/>
                <w:kern w:val="0"/>
                <w:szCs w:val="21"/>
                <w:lang w:bidi="ar"/>
              </w:rPr>
              <w:t>≤3%；蚊子密度≤1；鼠密度≤3%；</w:t>
            </w:r>
            <w:r>
              <w:rPr>
                <w:rFonts w:hint="eastAsia"/>
                <w:color w:val="000000"/>
                <w:szCs w:val="21"/>
              </w:rPr>
              <w:t>蟑螂密度</w:t>
            </w:r>
            <w:r>
              <w:rPr>
                <w:rFonts w:hint="eastAsia" w:ascii="宋体" w:hAnsi="宋体" w:cs="宋体"/>
                <w:color w:val="000000"/>
                <w:kern w:val="0"/>
                <w:szCs w:val="21"/>
                <w:lang w:bidi="ar"/>
              </w:rPr>
              <w:t>≤3%，且平均每间房大蠊不超过5只，小蠊不超过10只。有活蟑螂卵鞘房间不超过2%，平均每间房不超过4只。有蟑螂粪便、蜕皮等蟑迹房间不超过5%</w:t>
            </w:r>
          </w:p>
          <w:p>
            <w:pPr>
              <w:widowControl/>
              <w:numPr>
                <w:ilvl w:val="0"/>
                <w:numId w:val="4"/>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3、各部门反映未发现有四害或其它虫害                      </w:t>
            </w:r>
          </w:p>
        </w:tc>
      </w:tr>
      <w:tr>
        <w:tblPrEx>
          <w:tblCellMar>
            <w:top w:w="0" w:type="dxa"/>
            <w:left w:w="108" w:type="dxa"/>
            <w:bottom w:w="0" w:type="dxa"/>
            <w:right w:w="108" w:type="dxa"/>
          </w:tblCellMar>
        </w:tblPrEx>
        <w:trPr>
          <w:trHeight w:val="182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蚊子</w:t>
            </w:r>
          </w:p>
        </w:tc>
        <w:tc>
          <w:tcPr>
            <w:tcW w:w="20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p>
        </w:tc>
        <w:tc>
          <w:tcPr>
            <w:tcW w:w="19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442"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p>
        </w:tc>
      </w:tr>
      <w:tr>
        <w:tblPrEx>
          <w:tblCellMar>
            <w:top w:w="0" w:type="dxa"/>
            <w:left w:w="108" w:type="dxa"/>
            <w:bottom w:w="0" w:type="dxa"/>
            <w:right w:w="108" w:type="dxa"/>
          </w:tblCellMar>
        </w:tblPrEx>
        <w:trPr>
          <w:trHeight w:val="4218"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老鼠</w:t>
            </w:r>
          </w:p>
        </w:tc>
        <w:tc>
          <w:tcPr>
            <w:tcW w:w="2000" w:type="dxa"/>
            <w:vMerge w:val="restart"/>
            <w:tcBorders>
              <w:top w:val="single" w:color="auto" w:sz="4" w:space="0"/>
              <w:left w:val="single" w:color="000000" w:sz="4" w:space="0"/>
              <w:right w:val="single" w:color="000000" w:sz="4" w:space="0"/>
            </w:tcBorders>
            <w:noWrap w:val="0"/>
            <w:vAlign w:val="center"/>
          </w:tcPr>
          <w:p>
            <w:pPr>
              <w:pStyle w:val="2"/>
              <w:ind w:left="0" w:leftChars="0" w:firstLine="0" w:firstLineChars="0"/>
              <w:rPr>
                <w:rFonts w:hint="eastAsia" w:ascii="宋体" w:hAnsi="宋体" w:cs="宋体"/>
                <w:color w:val="000000"/>
              </w:rPr>
            </w:pPr>
            <w:r>
              <w:rPr>
                <w:rFonts w:hint="eastAsia" w:ascii="宋体" w:hAnsi="宋体" w:cs="宋体"/>
                <w:color w:val="000000"/>
              </w:rPr>
              <w:t xml:space="preserve">1、每月集中巡查并处理一次，两馆内外设置的毒饵站的数量，须达到且超过目前现有数量； </w:t>
            </w:r>
          </w:p>
          <w:p>
            <w:pPr>
              <w:pStyle w:val="2"/>
              <w:ind w:left="0" w:leftChars="0" w:firstLine="0" w:firstLineChars="0"/>
              <w:rPr>
                <w:rFonts w:hint="eastAsia" w:ascii="宋体" w:hAnsi="宋体" w:cs="宋体"/>
                <w:color w:val="000000"/>
              </w:rPr>
            </w:pPr>
            <w:r>
              <w:rPr>
                <w:rFonts w:hint="eastAsia" w:ascii="宋体" w:hAnsi="宋体" w:cs="宋体"/>
                <w:color w:val="000000"/>
              </w:rPr>
              <w:t>2、如采购人应现场防治要求需临时增加消杀区域和次数，成交方需无条件满足；</w:t>
            </w:r>
          </w:p>
          <w:p>
            <w:pPr>
              <w:pStyle w:val="2"/>
              <w:ind w:left="0" w:leftChars="0" w:firstLine="0" w:firstLineChars="0"/>
              <w:rPr>
                <w:rFonts w:hint="eastAsia"/>
                <w:color w:val="000000"/>
              </w:rPr>
            </w:pPr>
            <w:r>
              <w:rPr>
                <w:rFonts w:hint="eastAsia" w:ascii="宋体" w:hAnsi="宋体" w:cs="宋体"/>
                <w:color w:val="000000"/>
              </w:rPr>
              <w:t>3、增加的次数不含在每月集中处理次数内，不额外支付任何费用</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1、围墙四周及各楼宇外墙壁根每20米左右建立一个灭鼠毒饵站。成交方每月定期巡查并及时维护、增设、调整毒饵站，同时张贴醒目标识，按规范管理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2、每月定期投放毒饵并查看补充        </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3、通过布放粘鼠板、老鼠药等形式进行灭鼠</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1、根据效果和采购人反馈情况予以更换老鼠药并定期查看                     2、老鼠药必须为低毒高效品牌                3、食堂摆放鼠药必须保证食品安全</w:t>
            </w:r>
          </w:p>
        </w:tc>
        <w:tc>
          <w:tcPr>
            <w:tcW w:w="1442"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p>
        </w:tc>
      </w:tr>
      <w:tr>
        <w:tblPrEx>
          <w:tblCellMar>
            <w:top w:w="0" w:type="dxa"/>
            <w:left w:w="108" w:type="dxa"/>
            <w:bottom w:w="0" w:type="dxa"/>
            <w:right w:w="108" w:type="dxa"/>
          </w:tblCellMar>
        </w:tblPrEx>
        <w:trPr>
          <w:trHeight w:val="3205"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蟑螂</w:t>
            </w:r>
          </w:p>
        </w:tc>
        <w:tc>
          <w:tcPr>
            <w:tcW w:w="20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使用化学药剂喷洒在需要进行灭蟑的场所</w:t>
            </w:r>
          </w:p>
          <w:p>
            <w:pPr>
              <w:widowControl/>
              <w:numPr>
                <w:ilvl w:val="0"/>
                <w:numId w:val="5"/>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用带有药物的蟑螂爱吃的诱饵，分散撒在有蟑螂的地方，蟑螂接触后即可杀灭</w:t>
            </w:r>
          </w:p>
          <w:p>
            <w:pPr>
              <w:pStyle w:val="2"/>
              <w:rPr>
                <w:rFonts w:hint="eastAsia"/>
                <w:color w:val="000000"/>
              </w:rPr>
            </w:pP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1、每月对各博物馆各区域（含桌柜、文件柜及贮物柜）进行一次全面的蟑螂消杀          2、使用的杀虫剂要求高效低毒，对人畜安全无害，药效持久，作用时间长，杀虫谱广，对环境不造成污染</w:t>
            </w:r>
          </w:p>
        </w:tc>
        <w:tc>
          <w:tcPr>
            <w:tcW w:w="1442"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p>
        </w:tc>
      </w:tr>
      <w:tr>
        <w:tblPrEx>
          <w:tblCellMar>
            <w:top w:w="0" w:type="dxa"/>
            <w:left w:w="108" w:type="dxa"/>
            <w:bottom w:w="0" w:type="dxa"/>
            <w:right w:w="108" w:type="dxa"/>
          </w:tblCellMar>
        </w:tblPrEx>
        <w:trPr>
          <w:trHeight w:val="474"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蚂蚁、跳蚤、蛇、爬虫等虫害</w:t>
            </w:r>
          </w:p>
        </w:tc>
        <w:tc>
          <w:tcPr>
            <w:tcW w:w="200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宋体" w:hAnsi="宋体" w:cs="宋体"/>
                <w:color w:val="000000"/>
                <w:szCs w:val="21"/>
              </w:rPr>
            </w:pPr>
            <w:r>
              <w:rPr>
                <w:rFonts w:hint="eastAsia" w:ascii="宋体" w:hAnsi="宋体" w:cs="宋体"/>
                <w:color w:val="000000"/>
                <w:szCs w:val="21"/>
              </w:rPr>
              <w:t>应采购人要求，物理驱蛇装置，须达到且超过现有数量，达到投标文件要求。</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对蚂蚁和蛇类进行驱赶</w:t>
            </w:r>
          </w:p>
          <w:p>
            <w:pPr>
              <w:widowControl/>
              <w:numPr>
                <w:ilvl w:val="0"/>
                <w:numId w:val="6"/>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使用化学药剂对跳蚤、爬虫等进行防治</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高效、安全、低毒或无毒类环保产品</w:t>
            </w:r>
          </w:p>
        </w:tc>
        <w:tc>
          <w:tcPr>
            <w:tcW w:w="1442"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Cs w:val="21"/>
              </w:rPr>
            </w:pPr>
          </w:p>
        </w:tc>
      </w:tr>
    </w:tbl>
    <w:p>
      <w:pPr>
        <w:spacing w:line="440" w:lineRule="exact"/>
        <w:rPr>
          <w:rFonts w:hint="eastAsia" w:ascii="宋体" w:hAnsi="宋体" w:cs="宋体"/>
          <w:b/>
          <w:color w:val="000000"/>
          <w:kern w:val="0"/>
          <w:sz w:val="24"/>
        </w:rPr>
      </w:pPr>
    </w:p>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二、服务期限</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服务期限为1年，本年度合同履行到期，经采购人年度考核评分在90分以上，且在服务期内，未出现较大事故或较大经济损失的，经财政部门批准且资金落实后，可续签合同，1年1次，最多不超过2次。</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如遇以下任一情况，采购人有权单方面提前终止合同，同时不向成交方支付维保费用，且成交方按合同总额的20%向采购人支付违约赔偿金，并赔偿采购人及第三方损失：</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1、成交方未按约定履行其义务，给采购人带来重大影响的；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2、经采购人通知后，成交方未进行防治整改或防治整改不及时，给采购人带来重大影响的；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3、采购人认为在服务期内成交方明显不能继续胜任其合同和所承诺的相应工作的；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4、因成交方或成交方员工的原因给采购人或第三方造成重大损失的。</w:t>
      </w:r>
    </w:p>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三、服务要求</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成交方所使用的药剂和工具器械必须是符合国家环保、安全等有关规定的合格产品，严禁使用违禁、淘汰、过期药物。成交方须科学用药、安全用药，选用优质的药剂有效成分，符合剂型要求和用药方式，防止病虫鼠害产生抗药性，以达到病媒防治的最佳防治效果。</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成交方要做好消杀药品及用具的管理，不能破坏防治区域的生态平衡，不能损害我馆文物及展品。如药剂和工具器械对人身安全造成影响，或因成交方操作不当导致出现的安全事故，由此产生的一切责任后果概由成交方自行负责，采购人不承担任何法律责任。用药未经采购人验收或消杀未达到验收标准，由此造成返工等发生的一切费用，均由成交方自行承担。</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成交方进驻后需对两个馆区各区域病媒防治设施进行一次全面的检查、维护、维修、增设和病虫害消杀，保证满足各馆区现场病媒防治需求，后每月对防治范围进行巡查，做到集中处理和动态巡查相结合，保质保量做好消杀工作。如需临时增加消杀区域和次数，成交方应无条件响应，接到采购人通知后当日内到场解决。服务期内，采购人不定期抽查，若发现四害和其他虫害，成交方立即进行消杀服务。</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每月消杀前，成交方须提前与采购人监管人员预约时间，且作业全程接受采购人的监督管理。每月一次巡查消杀完毕后成交方向采购人提交月巡查确认单及现场处理照片，确认单需各博物馆监管考核部门负责人签字并交采购人留存。</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5、监管考核：安庆博物馆（安徽中国黄梅戏博物馆）由安全保障部监管考核，安庆市革命文物陈列馆由黄镇馆管理办考核。成交方须确保服务期内四害和其他病虫鼠害控制在国家标准范围之内。</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（1）如采购人同一部门多次反映或一个月内多个部门反映有老鼠、蟑螂等病虫鼠害，每次扣罚成交方服务费200元；</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成交方应配合采购人做好应对各级部门的检查工作，提供相关检查资料备查，并针对性整改。如因成交方工作不到位给采购人带来不良影响，每次扣罚成交方服务费1000元及以上，造成严重后果等可提前解除本合同。</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成交方在进行消杀工作时，不得影响采购人正常开放秩序，消杀工作需做好解释并取得采购人各部门及物业的同意方可实施，并及时告知投放的药物和工具器械的使用注意事项，如因未获得允许或未告知注意事项而导致的安全事故，由此产生的一切责任后果概由成交方自行负责，采购人不承担任何法律责任。工作中不得损坏采购人任何设备设施，如有损坏，照价赔偿。</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成交方每年须向甲方出具《有害生物密度调查工作报告》，保证病媒生物控制效果达到《全国病媒生物监测方案》和《安徽省防控病媒生物管理办法》《公共场所卫生管理规范》规定标准。若采购人请第三方对病媒生物进行监测后结果未达到规定标准，一次不合格扣罚成交方20%年服务费，且成交方必须无条件整改，采购人并有权提前终止合同。</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6、成交方必须有完善的售后服务体系，指派专人负责后期相关服务，投报时提供一名联系人员姓名、联系方式。</w:t>
      </w:r>
    </w:p>
    <w:bookmarkEnd w:id="1"/>
    <w:p>
      <w:pPr>
        <w:ind w:firstLine="420" w:firstLineChars="200"/>
        <w:rPr>
          <w:rFonts w:hint="eastAsia" w:ascii="宋体" w:hAnsi="宋体" w:cs="宋体"/>
          <w:color w:val="000000"/>
          <w:szCs w:val="21"/>
        </w:rPr>
      </w:pPr>
    </w:p>
    <w:p>
      <w:pPr>
        <w:ind w:firstLine="420" w:firstLineChars="200"/>
        <w:rPr>
          <w:rFonts w:ascii="宋体" w:hAnsi="宋体" w:cs="宋体"/>
          <w:b/>
          <w:bCs/>
          <w:color w:val="000000"/>
          <w:spacing w:val="20"/>
          <w:sz w:val="28"/>
          <w:szCs w:val="28"/>
        </w:rPr>
      </w:pPr>
      <w:r>
        <w:rPr>
          <w:rFonts w:hint="eastAsia" w:ascii="宋体" w:hAnsi="宋体" w:cs="宋体"/>
          <w:color w:val="000000"/>
          <w:szCs w:val="21"/>
        </w:rPr>
        <w:t>7、考核表</w:t>
      </w:r>
    </w:p>
    <w:p>
      <w:pPr>
        <w:jc w:val="center"/>
        <w:rPr>
          <w:rFonts w:hint="eastAsia" w:ascii="宋体" w:hAnsi="宋体" w:cs="宋体"/>
          <w:color w:val="000000"/>
          <w:sz w:val="28"/>
          <w:szCs w:val="28"/>
        </w:rPr>
      </w:pPr>
      <w:r>
        <w:rPr>
          <w:rFonts w:hint="eastAsia" w:ascii="宋体" w:hAnsi="宋体" w:cs="宋体"/>
          <w:b/>
          <w:bCs/>
          <w:color w:val="000000"/>
          <w:spacing w:val="20"/>
          <w:sz w:val="28"/>
          <w:szCs w:val="28"/>
        </w:rPr>
        <w:t>病虫鼠害消杀服务（病媒生物防治）项目</w:t>
      </w:r>
      <w:r>
        <w:rPr>
          <w:rFonts w:hint="eastAsia" w:ascii="宋体" w:hAnsi="宋体" w:cs="宋体"/>
          <w:b/>
          <w:bCs/>
          <w:color w:val="000000"/>
          <w:sz w:val="28"/>
          <w:szCs w:val="28"/>
        </w:rPr>
        <w:t>考核表</w:t>
      </w:r>
    </w:p>
    <w:tbl>
      <w:tblPr>
        <w:tblStyle w:val="7"/>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3054"/>
        <w:gridCol w:w="1441"/>
        <w:gridCol w:w="165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65"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序号</w:t>
            </w:r>
          </w:p>
        </w:tc>
        <w:tc>
          <w:tcPr>
            <w:tcW w:w="3356" w:type="dxa"/>
            <w:noWrap w:val="0"/>
            <w:vAlign w:val="top"/>
          </w:tcPr>
          <w:p>
            <w:pPr>
              <w:pStyle w:val="9"/>
              <w:spacing w:before="156"/>
              <w:ind w:firstLine="368"/>
              <w:rPr>
                <w:rFonts w:ascii="宋体" w:hAnsi="宋体" w:cs="宋体"/>
                <w:color w:val="000000"/>
                <w:szCs w:val="21"/>
              </w:rPr>
            </w:pPr>
            <w:r>
              <w:rPr>
                <w:rFonts w:hint="eastAsia" w:ascii="宋体" w:hAnsi="宋体" w:cs="宋体"/>
                <w:color w:val="000000"/>
                <w:szCs w:val="21"/>
              </w:rPr>
              <w:t>考核内容</w:t>
            </w:r>
          </w:p>
        </w:tc>
        <w:tc>
          <w:tcPr>
            <w:tcW w:w="1504" w:type="dxa"/>
            <w:noWrap w:val="0"/>
            <w:vAlign w:val="top"/>
          </w:tcPr>
          <w:p>
            <w:pPr>
              <w:pStyle w:val="9"/>
              <w:spacing w:before="156"/>
              <w:ind w:left="0" w:leftChars="0" w:firstLine="210" w:firstLineChars="100"/>
              <w:jc w:val="both"/>
              <w:rPr>
                <w:rFonts w:ascii="宋体" w:hAnsi="宋体" w:cs="宋体"/>
                <w:color w:val="000000"/>
                <w:szCs w:val="21"/>
              </w:rPr>
            </w:pPr>
            <w:r>
              <w:rPr>
                <w:rFonts w:hint="eastAsia" w:ascii="宋体" w:hAnsi="宋体" w:cs="宋体"/>
                <w:color w:val="000000"/>
                <w:szCs w:val="21"/>
              </w:rPr>
              <w:t>规定分值</w:t>
            </w:r>
          </w:p>
        </w:tc>
        <w:tc>
          <w:tcPr>
            <w:tcW w:w="1749" w:type="dxa"/>
            <w:noWrap w:val="0"/>
            <w:vAlign w:val="top"/>
          </w:tcPr>
          <w:p>
            <w:pPr>
              <w:pStyle w:val="9"/>
              <w:spacing w:before="156"/>
              <w:ind w:left="0" w:leftChars="0" w:firstLine="630" w:firstLineChars="300"/>
              <w:rPr>
                <w:rFonts w:ascii="宋体" w:hAnsi="宋体" w:cs="宋体"/>
                <w:color w:val="000000"/>
                <w:szCs w:val="21"/>
              </w:rPr>
            </w:pPr>
            <w:r>
              <w:rPr>
                <w:rFonts w:hint="eastAsia" w:ascii="宋体" w:hAnsi="宋体" w:cs="宋体"/>
                <w:color w:val="000000"/>
                <w:szCs w:val="21"/>
              </w:rPr>
              <w:t>评分</w:t>
            </w:r>
          </w:p>
        </w:tc>
        <w:tc>
          <w:tcPr>
            <w:tcW w:w="1592" w:type="dxa"/>
            <w:noWrap w:val="0"/>
            <w:vAlign w:val="top"/>
          </w:tcPr>
          <w:p>
            <w:pPr>
              <w:pStyle w:val="9"/>
              <w:spacing w:before="156"/>
              <w:ind w:left="0" w:leftChars="0" w:firstLine="420" w:firstLineChars="200"/>
              <w:rPr>
                <w:rFonts w:ascii="宋体" w:hAnsi="宋体" w:cs="宋体"/>
                <w:color w:val="000000"/>
                <w:szCs w:val="21"/>
              </w:rPr>
            </w:pPr>
            <w:r>
              <w:rPr>
                <w:rFonts w:hint="eastAsia" w:ascii="宋体" w:hAnsi="宋体" w:cs="宋体"/>
                <w:color w:val="000000"/>
                <w:szCs w:val="21"/>
              </w:rPr>
              <w:t>考评分值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1</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防治人员配备齐全，严禁携带易燃易爆高危化学制剂制品出入博物馆；非工作时间实施全封闭式管理，安全出入及现场管理须接受馆方对口部门的管理。</w:t>
            </w:r>
          </w:p>
        </w:tc>
        <w:tc>
          <w:tcPr>
            <w:tcW w:w="1504" w:type="dxa"/>
            <w:noWrap w:val="0"/>
            <w:vAlign w:val="center"/>
          </w:tcPr>
          <w:p>
            <w:pPr>
              <w:pStyle w:val="9"/>
              <w:spacing w:before="156"/>
              <w:ind w:left="0" w:leftChars="0" w:firstLine="630" w:firstLineChars="300"/>
              <w:jc w:val="both"/>
              <w:rPr>
                <w:rFonts w:ascii="宋体" w:hAnsi="宋体" w:cs="宋体"/>
                <w:color w:val="000000"/>
                <w:szCs w:val="21"/>
              </w:rPr>
            </w:pPr>
            <w:r>
              <w:rPr>
                <w:rFonts w:hint="eastAsia" w:ascii="宋体" w:hAnsi="宋体" w:cs="宋体"/>
                <w:color w:val="000000"/>
                <w:szCs w:val="21"/>
              </w:rPr>
              <w:t>15</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不符合要求的，每次扣2分，直至扣完为止。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2</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进入博物馆进行防治工作，需接受业主的领导与监督，遵守博物馆内部各项安全、技防、文物保护等制度，及时处理化学遗留物与残渣，以免对文物与藏品损害。</w:t>
            </w:r>
          </w:p>
        </w:tc>
        <w:tc>
          <w:tcPr>
            <w:tcW w:w="1504" w:type="dxa"/>
            <w:noWrap w:val="0"/>
            <w:vAlign w:val="center"/>
          </w:tcPr>
          <w:p>
            <w:pPr>
              <w:pStyle w:val="9"/>
              <w:spacing w:before="156"/>
              <w:ind w:left="0" w:leftChars="0" w:firstLine="630" w:firstLineChars="300"/>
              <w:jc w:val="both"/>
              <w:rPr>
                <w:rFonts w:ascii="宋体" w:hAnsi="宋体" w:cs="宋体"/>
                <w:color w:val="000000"/>
                <w:szCs w:val="21"/>
              </w:rPr>
            </w:pPr>
            <w:r>
              <w:rPr>
                <w:rFonts w:hint="eastAsia" w:ascii="宋体" w:hAnsi="宋体" w:cs="宋体"/>
                <w:color w:val="000000"/>
                <w:szCs w:val="21"/>
              </w:rPr>
              <w:t>15</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不符合要求的，每次扣2分，直至扣完为止。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3</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从业人员需穿着整齐防护服，出入博物馆需做好出入登记手续，做好工作日志以备博物馆验收检查核对。</w:t>
            </w:r>
          </w:p>
        </w:tc>
        <w:tc>
          <w:tcPr>
            <w:tcW w:w="1504" w:type="dxa"/>
            <w:noWrap w:val="0"/>
            <w:vAlign w:val="center"/>
          </w:tcPr>
          <w:p>
            <w:pPr>
              <w:pStyle w:val="9"/>
              <w:spacing w:before="156"/>
              <w:ind w:left="0" w:leftChars="0" w:firstLine="630" w:firstLineChars="300"/>
              <w:jc w:val="both"/>
              <w:rPr>
                <w:rFonts w:ascii="宋体" w:hAnsi="宋体" w:cs="宋体"/>
                <w:color w:val="000000"/>
                <w:szCs w:val="21"/>
              </w:rPr>
            </w:pPr>
            <w:r>
              <w:rPr>
                <w:rFonts w:hint="eastAsia" w:ascii="宋体" w:hAnsi="宋体" w:cs="宋体"/>
                <w:color w:val="000000"/>
                <w:szCs w:val="21"/>
              </w:rPr>
              <w:t>10</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不符合要求，手续不全，每次扣2分，直至扣完为止。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4</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使用化学试剂、药剂的产品，需达到国家环保和国家产品质量要求，每次留有产品证书，提供给博物馆考核审核审查。</w:t>
            </w:r>
          </w:p>
        </w:tc>
        <w:tc>
          <w:tcPr>
            <w:tcW w:w="1504" w:type="dxa"/>
            <w:noWrap w:val="0"/>
            <w:vAlign w:val="center"/>
          </w:tcPr>
          <w:p>
            <w:pPr>
              <w:pStyle w:val="9"/>
              <w:spacing w:before="156"/>
              <w:ind w:left="0" w:leftChars="0" w:firstLine="630" w:firstLineChars="300"/>
              <w:jc w:val="both"/>
              <w:rPr>
                <w:rFonts w:ascii="宋体" w:hAnsi="宋体" w:cs="宋体"/>
                <w:color w:val="000000"/>
                <w:szCs w:val="21"/>
              </w:rPr>
            </w:pPr>
            <w:r>
              <w:rPr>
                <w:rFonts w:hint="eastAsia" w:ascii="宋体" w:hAnsi="宋体" w:cs="宋体"/>
                <w:color w:val="000000"/>
                <w:szCs w:val="21"/>
              </w:rPr>
              <w:t>10</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不符合要求，提供不全，每次扣2分，直至扣完为止。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5</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在展区操作作业时，需有文物保护措施，技术作业方案，须经馆方认可，方可实施，操作结束后，清理化学残渣，环境经馆方认可能安全展示文物藏品的标准。</w:t>
            </w:r>
          </w:p>
        </w:tc>
        <w:tc>
          <w:tcPr>
            <w:tcW w:w="1504" w:type="dxa"/>
            <w:noWrap w:val="0"/>
            <w:vAlign w:val="center"/>
          </w:tcPr>
          <w:p>
            <w:pPr>
              <w:pStyle w:val="9"/>
              <w:spacing w:before="156"/>
              <w:ind w:left="0" w:leftChars="0" w:firstLine="630" w:firstLineChars="300"/>
              <w:jc w:val="both"/>
              <w:rPr>
                <w:rFonts w:ascii="宋体" w:hAnsi="宋体" w:cs="宋体"/>
                <w:color w:val="000000"/>
                <w:szCs w:val="21"/>
              </w:rPr>
            </w:pPr>
            <w:r>
              <w:rPr>
                <w:rFonts w:hint="eastAsia" w:ascii="宋体" w:hAnsi="宋体" w:cs="宋体"/>
                <w:color w:val="000000"/>
                <w:szCs w:val="21"/>
              </w:rPr>
              <w:t>20</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违反规范操作一次，每次扣5分，直至扣完为止。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8" w:hRule="atLeast"/>
        </w:trPr>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6</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展馆内外布置的防蛇驱赶物理装置、防鼠装置，需满足在现有的数量以上，必须达到投标文件上数量以上，及时更换破旧、失灵的器械。</w:t>
            </w:r>
          </w:p>
        </w:tc>
        <w:tc>
          <w:tcPr>
            <w:tcW w:w="1504" w:type="dxa"/>
            <w:noWrap w:val="0"/>
            <w:vAlign w:val="center"/>
          </w:tcPr>
          <w:p>
            <w:pPr>
              <w:pStyle w:val="9"/>
              <w:spacing w:before="156"/>
              <w:ind w:left="0" w:leftChars="0" w:firstLine="630" w:firstLineChars="300"/>
              <w:jc w:val="both"/>
              <w:rPr>
                <w:rFonts w:ascii="宋体" w:hAnsi="宋体" w:cs="宋体"/>
                <w:color w:val="000000"/>
                <w:szCs w:val="21"/>
              </w:rPr>
            </w:pPr>
            <w:r>
              <w:rPr>
                <w:rFonts w:hint="eastAsia" w:ascii="宋体" w:hAnsi="宋体" w:cs="宋体"/>
                <w:color w:val="000000"/>
                <w:szCs w:val="21"/>
              </w:rPr>
              <w:t>10</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发现更换不及时，每次扣2分，直至扣完为止。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7</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有害生物密度标准：苍蝇密度≤3%；蚊子密度≤1；鼠密度≤3%；蟑螂密度≤3%，且平均每间房大蠊不超过5只，小蠊不超过10只。有活蟑螂卵鞘房间不超过2%，平均每间房不超过4只。有蟑螂粪便、蜕皮等蟑迹房间不超过5%，符合《公共场所卫生管理规范》。</w:t>
            </w:r>
          </w:p>
        </w:tc>
        <w:tc>
          <w:tcPr>
            <w:tcW w:w="1504" w:type="dxa"/>
            <w:noWrap w:val="0"/>
            <w:vAlign w:val="center"/>
          </w:tcPr>
          <w:p>
            <w:pPr>
              <w:pStyle w:val="9"/>
              <w:spacing w:before="156"/>
              <w:ind w:left="0" w:leftChars="0" w:firstLine="630" w:firstLineChars="300"/>
              <w:rPr>
                <w:rFonts w:ascii="宋体" w:hAnsi="宋体" w:cs="宋体"/>
                <w:color w:val="000000"/>
                <w:szCs w:val="21"/>
              </w:rPr>
            </w:pPr>
            <w:r>
              <w:rPr>
                <w:rFonts w:hint="eastAsia" w:ascii="宋体" w:hAnsi="宋体" w:cs="宋体"/>
                <w:color w:val="000000"/>
                <w:szCs w:val="21"/>
              </w:rPr>
              <w:t>10</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抽查发现一次超标，每次扣2分，直至扣完为止。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9"/>
              <w:spacing w:before="156"/>
              <w:ind w:left="0" w:leftChars="0" w:firstLine="0" w:firstLineChars="0"/>
              <w:jc w:val="center"/>
              <w:rPr>
                <w:rFonts w:ascii="宋体" w:hAnsi="宋体" w:cs="宋体"/>
                <w:color w:val="000000"/>
                <w:szCs w:val="21"/>
              </w:rPr>
            </w:pPr>
            <w:r>
              <w:rPr>
                <w:rFonts w:hint="eastAsia" w:ascii="宋体" w:hAnsi="宋体" w:cs="宋体"/>
                <w:color w:val="000000"/>
                <w:szCs w:val="21"/>
              </w:rPr>
              <w:t>8</w:t>
            </w:r>
          </w:p>
        </w:tc>
        <w:tc>
          <w:tcPr>
            <w:tcW w:w="3356" w:type="dxa"/>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各类病虫鼠害消杀服务（病媒生物防治）防治频率，必须严格按照招标文件及规范要求。</w:t>
            </w:r>
          </w:p>
          <w:p>
            <w:pPr>
              <w:pStyle w:val="9"/>
              <w:spacing w:before="156"/>
              <w:ind w:left="0" w:leftChars="0" w:firstLine="0" w:firstLineChars="0"/>
              <w:rPr>
                <w:rFonts w:ascii="宋体" w:hAnsi="宋体" w:cs="宋体"/>
                <w:color w:val="000000"/>
                <w:szCs w:val="21"/>
              </w:rPr>
            </w:pPr>
          </w:p>
        </w:tc>
        <w:tc>
          <w:tcPr>
            <w:tcW w:w="1504" w:type="dxa"/>
            <w:noWrap w:val="0"/>
            <w:vAlign w:val="center"/>
          </w:tcPr>
          <w:p>
            <w:pPr>
              <w:pStyle w:val="9"/>
              <w:spacing w:before="156"/>
              <w:ind w:left="0" w:leftChars="0" w:firstLine="630" w:firstLineChars="300"/>
              <w:rPr>
                <w:rFonts w:ascii="宋体" w:hAnsi="宋体" w:cs="宋体"/>
                <w:color w:val="000000"/>
                <w:szCs w:val="21"/>
              </w:rPr>
            </w:pPr>
            <w:r>
              <w:rPr>
                <w:rFonts w:hint="eastAsia" w:ascii="宋体" w:hAnsi="宋体" w:cs="宋体"/>
                <w:color w:val="000000"/>
                <w:szCs w:val="21"/>
              </w:rPr>
              <w:t>10</w:t>
            </w:r>
          </w:p>
        </w:tc>
        <w:tc>
          <w:tcPr>
            <w:tcW w:w="1749" w:type="dxa"/>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考核抽查中发现一次不达标，每次扣2分，直至扣完为止。</w:t>
            </w: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1" w:type="dxa"/>
            <w:gridSpan w:val="2"/>
            <w:noWrap w:val="0"/>
            <w:vAlign w:val="top"/>
          </w:tcPr>
          <w:p>
            <w:pPr>
              <w:pStyle w:val="9"/>
              <w:spacing w:before="156"/>
              <w:ind w:left="0" w:leftChars="0" w:firstLine="0" w:firstLineChars="0"/>
              <w:rPr>
                <w:rFonts w:ascii="宋体" w:hAnsi="宋体" w:cs="宋体"/>
                <w:color w:val="000000"/>
                <w:szCs w:val="21"/>
              </w:rPr>
            </w:pPr>
            <w:r>
              <w:rPr>
                <w:rFonts w:hint="eastAsia" w:ascii="宋体" w:hAnsi="宋体" w:cs="宋体"/>
                <w:color w:val="000000"/>
                <w:szCs w:val="21"/>
              </w:rPr>
              <w:t>合计</w:t>
            </w:r>
          </w:p>
        </w:tc>
        <w:tc>
          <w:tcPr>
            <w:tcW w:w="1504" w:type="dxa"/>
            <w:noWrap w:val="0"/>
            <w:vAlign w:val="center"/>
          </w:tcPr>
          <w:p>
            <w:pPr>
              <w:pStyle w:val="9"/>
              <w:spacing w:before="156"/>
              <w:ind w:left="0" w:leftChars="0" w:firstLine="420" w:firstLineChars="200"/>
              <w:rPr>
                <w:rFonts w:ascii="宋体" w:hAnsi="宋体" w:cs="宋体"/>
                <w:color w:val="000000"/>
                <w:szCs w:val="21"/>
              </w:rPr>
            </w:pPr>
            <w:r>
              <w:rPr>
                <w:rFonts w:hint="eastAsia" w:ascii="宋体" w:hAnsi="宋体" w:cs="宋体"/>
                <w:color w:val="000000"/>
                <w:szCs w:val="21"/>
              </w:rPr>
              <w:t>100</w:t>
            </w:r>
          </w:p>
        </w:tc>
        <w:tc>
          <w:tcPr>
            <w:tcW w:w="1749" w:type="dxa"/>
            <w:noWrap w:val="0"/>
            <w:vAlign w:val="top"/>
          </w:tcPr>
          <w:p>
            <w:pPr>
              <w:pStyle w:val="9"/>
              <w:spacing w:before="156"/>
              <w:ind w:firstLine="368"/>
              <w:rPr>
                <w:rFonts w:hint="eastAsia" w:ascii="宋体" w:hAnsi="宋体" w:cs="宋体"/>
                <w:color w:val="000000"/>
                <w:szCs w:val="21"/>
              </w:rPr>
            </w:pPr>
          </w:p>
        </w:tc>
        <w:tc>
          <w:tcPr>
            <w:tcW w:w="1592" w:type="dxa"/>
            <w:noWrap w:val="0"/>
            <w:vAlign w:val="top"/>
          </w:tcPr>
          <w:p>
            <w:pPr>
              <w:pStyle w:val="9"/>
              <w:spacing w:before="156"/>
              <w:ind w:firstLine="368"/>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866" w:type="dxa"/>
            <w:gridSpan w:val="5"/>
            <w:noWrap w:val="0"/>
            <w:vAlign w:val="top"/>
          </w:tcPr>
          <w:p>
            <w:pPr>
              <w:pStyle w:val="9"/>
              <w:spacing w:before="156"/>
              <w:ind w:left="0" w:leftChars="0" w:firstLine="0" w:firstLineChars="0"/>
              <w:rPr>
                <w:rFonts w:hint="eastAsia" w:ascii="宋体" w:hAnsi="宋体" w:cs="宋体"/>
                <w:color w:val="000000"/>
                <w:szCs w:val="21"/>
              </w:rPr>
            </w:pPr>
            <w:r>
              <w:rPr>
                <w:rFonts w:hint="eastAsia" w:ascii="宋体" w:hAnsi="宋体" w:cs="宋体"/>
                <w:color w:val="000000"/>
                <w:szCs w:val="21"/>
              </w:rPr>
              <w:t>考核标准：</w:t>
            </w:r>
          </w:p>
          <w:p>
            <w:pPr>
              <w:pStyle w:val="9"/>
              <w:spacing w:before="156" w:line="360" w:lineRule="auto"/>
              <w:ind w:left="630" w:leftChars="300" w:firstLine="0" w:firstLineChars="0"/>
              <w:rPr>
                <w:rFonts w:hint="eastAsia" w:ascii="宋体" w:hAnsi="宋体" w:cs="宋体"/>
                <w:color w:val="000000"/>
                <w:szCs w:val="21"/>
              </w:rPr>
            </w:pPr>
            <w:r>
              <w:rPr>
                <w:rFonts w:hint="eastAsia" w:ascii="宋体" w:hAnsi="宋体" w:cs="宋体"/>
                <w:color w:val="000000"/>
                <w:szCs w:val="21"/>
              </w:rPr>
              <w:t>1、采购人对病虫鼠害消杀服务（病媒生物防治）项目服务单位一年年终进行考核一次；2、采购人对病虫鼠害消杀服务（病媒生物防治）项目服务单位进行考核，考核为85分或以上为合格，85分以下为不合格，须按照采购的合同要求整改，整改后仍不合者，采购人有权与服务单位解除合同。</w:t>
            </w:r>
          </w:p>
        </w:tc>
      </w:tr>
    </w:tbl>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四、验收</w:t>
      </w:r>
    </w:p>
    <w:p>
      <w:pPr>
        <w:pStyle w:val="9"/>
        <w:spacing w:before="156"/>
        <w:ind w:left="0" w:leftChars="0" w:firstLine="420" w:firstLineChars="200"/>
        <w:rPr>
          <w:rFonts w:ascii="宋体" w:hAnsi="宋体" w:cs="宋体"/>
          <w:color w:val="000000"/>
          <w:szCs w:val="21"/>
        </w:rPr>
      </w:pPr>
      <w:r>
        <w:rPr>
          <w:rFonts w:hint="eastAsia" w:ascii="宋体" w:hAnsi="宋体" w:cs="宋体"/>
          <w:color w:val="000000"/>
          <w:szCs w:val="21"/>
        </w:rPr>
        <w:t>采购人和中标人双方依据项目内容和进度共同实施验收工作，验收结果和验收报告经双方确认后生效。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D7AC3"/>
    <w:multiLevelType w:val="singleLevel"/>
    <w:tmpl w:val="820D7AC3"/>
    <w:lvl w:ilvl="0" w:tentative="0">
      <w:start w:val="1"/>
      <w:numFmt w:val="decimal"/>
      <w:suff w:val="nothing"/>
      <w:lvlText w:val="%1、"/>
      <w:lvlJc w:val="left"/>
    </w:lvl>
  </w:abstractNum>
  <w:abstractNum w:abstractNumId="1">
    <w:nsid w:val="BBD94E6B"/>
    <w:multiLevelType w:val="singleLevel"/>
    <w:tmpl w:val="BBD94E6B"/>
    <w:lvl w:ilvl="0" w:tentative="0">
      <w:start w:val="1"/>
      <w:numFmt w:val="decimal"/>
      <w:lvlText w:val="%1."/>
      <w:lvlJc w:val="left"/>
      <w:pPr>
        <w:tabs>
          <w:tab w:val="left" w:pos="312"/>
        </w:tabs>
      </w:pPr>
    </w:lvl>
  </w:abstractNum>
  <w:abstractNum w:abstractNumId="2">
    <w:nsid w:val="156CB88A"/>
    <w:multiLevelType w:val="singleLevel"/>
    <w:tmpl w:val="156CB88A"/>
    <w:lvl w:ilvl="0" w:tentative="0">
      <w:start w:val="1"/>
      <w:numFmt w:val="decimal"/>
      <w:suff w:val="nothing"/>
      <w:lvlText w:val="%1、"/>
      <w:lvlJc w:val="left"/>
    </w:lvl>
  </w:abstractNum>
  <w:abstractNum w:abstractNumId="3">
    <w:nsid w:val="29E6B9A9"/>
    <w:multiLevelType w:val="singleLevel"/>
    <w:tmpl w:val="29E6B9A9"/>
    <w:lvl w:ilvl="0" w:tentative="0">
      <w:start w:val="1"/>
      <w:numFmt w:val="decimal"/>
      <w:suff w:val="nothing"/>
      <w:lvlText w:val="%1、"/>
      <w:lvlJc w:val="left"/>
    </w:lvl>
  </w:abstractNum>
  <w:abstractNum w:abstractNumId="4">
    <w:nsid w:val="339D14ED"/>
    <w:multiLevelType w:val="singleLevel"/>
    <w:tmpl w:val="339D14ED"/>
    <w:lvl w:ilvl="0" w:tentative="0">
      <w:start w:val="1"/>
      <w:numFmt w:val="decimal"/>
      <w:suff w:val="nothing"/>
      <w:lvlText w:val="%1、"/>
      <w:lvlJc w:val="left"/>
    </w:lvl>
  </w:abstractNum>
  <w:abstractNum w:abstractNumId="5">
    <w:nsid w:val="63D13683"/>
    <w:multiLevelType w:val="singleLevel"/>
    <w:tmpl w:val="63D13683"/>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F4EFB"/>
    <w:rsid w:val="00B106A4"/>
    <w:rsid w:val="461F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customStyle="1" w:styleId="9">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2022-05-12T01:14:00Z</dcterms:created>
  <dc:creator>Administrator</dc:creator>
  <cp:lastModifiedBy>Administrator</cp:lastModifiedBy>
  <dcterms:modified xsi:type="dcterms:W3CDTF">2022-05-12T01:00:01Z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A99727DA9DDE4C23A9CB41C1E6D379CC</vt:lpwstr>
  </property>
</Properties>
</file>